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pacing w:line="760" w:lineRule="exact"/>
        <w:jc w:val="center"/>
        <w:textAlignment w:val="auto"/>
        <w:rPr>
          <w:rFonts w:ascii="方正小标宋简体" w:eastAsia="方正小标宋简体"/>
          <w:sz w:val="44"/>
          <w:szCs w:val="44"/>
        </w:rPr>
      </w:pPr>
    </w:p>
    <w:p>
      <w:pPr>
        <w:widowControl w:val="0"/>
        <w:kinsoku/>
        <w:autoSpaceDE/>
        <w:autoSpaceDN/>
        <w:adjustRightInd/>
        <w:spacing w:line="760" w:lineRule="exact"/>
        <w:jc w:val="center"/>
        <w:textAlignment w:val="auto"/>
        <w:rPr>
          <w:rFonts w:ascii="方正小标宋简体" w:eastAsia="方正小标宋简体"/>
          <w:sz w:val="44"/>
          <w:szCs w:val="44"/>
        </w:rPr>
      </w:pPr>
    </w:p>
    <w:p>
      <w:pPr>
        <w:widowControl w:val="0"/>
        <w:kinsoku/>
        <w:autoSpaceDE/>
        <w:autoSpaceDN/>
        <w:adjustRightInd/>
        <w:spacing w:line="760" w:lineRule="exact"/>
        <w:jc w:val="center"/>
        <w:textAlignment w:val="auto"/>
        <w:rPr>
          <w:rFonts w:ascii="方正小标宋简体" w:eastAsia="方正小标宋简体"/>
          <w:sz w:val="44"/>
          <w:szCs w:val="44"/>
        </w:rPr>
      </w:pPr>
    </w:p>
    <w:p>
      <w:pPr>
        <w:widowControl w:val="0"/>
        <w:kinsoku/>
        <w:autoSpaceDE/>
        <w:autoSpaceDN/>
        <w:adjustRightInd/>
        <w:spacing w:line="760" w:lineRule="exact"/>
        <w:jc w:val="center"/>
        <w:textAlignment w:val="auto"/>
        <w:rPr>
          <w:rFonts w:ascii="方正小标宋简体" w:eastAsia="方正小标宋简体"/>
          <w:sz w:val="44"/>
          <w:szCs w:val="44"/>
        </w:rPr>
      </w:pPr>
    </w:p>
    <w:p>
      <w:pPr>
        <w:widowControl w:val="0"/>
        <w:kinsoku/>
        <w:autoSpaceDE/>
        <w:autoSpaceDN/>
        <w:adjustRightInd/>
        <w:spacing w:line="760" w:lineRule="exact"/>
        <w:jc w:val="center"/>
        <w:textAlignment w:val="auto"/>
        <w:rPr>
          <w:rFonts w:ascii="方正小标宋简体" w:eastAsia="方正小标宋简体"/>
          <w:sz w:val="44"/>
          <w:szCs w:val="44"/>
        </w:rPr>
      </w:pPr>
    </w:p>
    <w:p>
      <w:pPr>
        <w:widowControl w:val="0"/>
        <w:kinsoku/>
        <w:autoSpaceDE/>
        <w:autoSpaceDN/>
        <w:adjustRightInd/>
        <w:spacing w:line="760" w:lineRule="exact"/>
        <w:jc w:val="center"/>
        <w:textAlignment w:val="auto"/>
        <w:rPr>
          <w:rFonts w:ascii="方正小标宋简体" w:eastAsia="方正小标宋简体"/>
          <w:sz w:val="44"/>
          <w:szCs w:val="44"/>
        </w:rPr>
      </w:pPr>
    </w:p>
    <w:p>
      <w:pPr>
        <w:widowControl w:val="0"/>
        <w:kinsoku/>
        <w:autoSpaceDE/>
        <w:autoSpaceDN/>
        <w:adjustRightInd/>
        <w:spacing w:line="760" w:lineRule="exact"/>
        <w:jc w:val="center"/>
        <w:textAlignment w:val="auto"/>
        <w:rPr>
          <w:rFonts w:ascii="方正小标宋简体" w:eastAsia="方正小标宋简体"/>
          <w:sz w:val="44"/>
          <w:szCs w:val="44"/>
        </w:rPr>
      </w:pPr>
    </w:p>
    <w:p>
      <w:pPr>
        <w:widowControl w:val="0"/>
        <w:kinsoku/>
        <w:autoSpaceDE/>
        <w:autoSpaceDN/>
        <w:adjustRightInd/>
        <w:spacing w:line="7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贺州市博物馆</w:t>
      </w:r>
    </w:p>
    <w:p>
      <w:pPr>
        <w:widowControl w:val="0"/>
        <w:kinsoku/>
        <w:autoSpaceDE/>
        <w:autoSpaceDN/>
        <w:adjustRightInd/>
        <w:spacing w:line="7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2023年部门预算公开</w:t>
      </w:r>
    </w:p>
    <w:p>
      <w:pPr>
        <w:spacing w:line="313" w:lineRule="auto"/>
      </w:pPr>
    </w:p>
    <w:p>
      <w:pPr>
        <w:spacing w:line="313" w:lineRule="auto"/>
      </w:pPr>
    </w:p>
    <w:p>
      <w:pPr>
        <w:spacing w:line="560" w:lineRule="exact"/>
        <w:ind w:firstLine="1921" w:firstLineChars="600"/>
        <w:rPr>
          <w:rFonts w:ascii="宋体" w:hAnsi="宋体" w:cs="宋体"/>
          <w:b/>
          <w:sz w:val="32"/>
          <w:szCs w:val="32"/>
        </w:rPr>
      </w:pPr>
    </w:p>
    <w:p>
      <w:pPr>
        <w:spacing w:line="560" w:lineRule="exact"/>
        <w:ind w:firstLine="1921" w:firstLineChars="600"/>
        <w:rPr>
          <w:rFonts w:ascii="宋体" w:hAnsi="宋体" w:cs="宋体"/>
          <w:b/>
          <w:sz w:val="32"/>
          <w:szCs w:val="32"/>
        </w:rPr>
      </w:pPr>
    </w:p>
    <w:p>
      <w:pPr>
        <w:spacing w:line="560" w:lineRule="exact"/>
        <w:ind w:firstLine="1921" w:firstLineChars="600"/>
        <w:rPr>
          <w:rFonts w:ascii="宋体" w:hAnsi="宋体" w:cs="宋体"/>
          <w:b/>
          <w:sz w:val="32"/>
          <w:szCs w:val="32"/>
        </w:rPr>
      </w:pPr>
    </w:p>
    <w:p>
      <w:pPr>
        <w:spacing w:line="560" w:lineRule="exact"/>
        <w:ind w:firstLine="1921" w:firstLineChars="600"/>
        <w:rPr>
          <w:rFonts w:ascii="宋体" w:hAnsi="宋体" w:cs="宋体"/>
          <w:b/>
          <w:sz w:val="32"/>
          <w:szCs w:val="32"/>
        </w:rPr>
      </w:pPr>
    </w:p>
    <w:p>
      <w:pPr>
        <w:spacing w:line="560" w:lineRule="exact"/>
        <w:ind w:firstLine="1921" w:firstLineChars="600"/>
        <w:rPr>
          <w:rFonts w:ascii="宋体" w:hAnsi="宋体" w:cs="宋体"/>
          <w:b/>
          <w:sz w:val="32"/>
          <w:szCs w:val="32"/>
        </w:rPr>
      </w:pPr>
    </w:p>
    <w:p>
      <w:pPr>
        <w:spacing w:line="560" w:lineRule="exact"/>
        <w:ind w:firstLine="1921" w:firstLineChars="600"/>
        <w:rPr>
          <w:rFonts w:ascii="宋体" w:hAnsi="宋体" w:cs="宋体"/>
          <w:b/>
          <w:sz w:val="32"/>
          <w:szCs w:val="32"/>
        </w:rPr>
      </w:pPr>
    </w:p>
    <w:p>
      <w:pPr>
        <w:spacing w:line="560" w:lineRule="exact"/>
        <w:ind w:firstLine="1921" w:firstLineChars="600"/>
        <w:rPr>
          <w:rFonts w:ascii="宋体" w:hAnsi="宋体" w:cs="宋体"/>
          <w:b/>
          <w:sz w:val="32"/>
          <w:szCs w:val="32"/>
        </w:rPr>
      </w:pPr>
    </w:p>
    <w:p>
      <w:pPr>
        <w:spacing w:line="560" w:lineRule="exact"/>
        <w:ind w:firstLine="1921" w:firstLineChars="600"/>
        <w:rPr>
          <w:rFonts w:ascii="宋体" w:hAnsi="宋体" w:cs="宋体"/>
          <w:b/>
          <w:sz w:val="32"/>
          <w:szCs w:val="32"/>
        </w:rPr>
      </w:pPr>
    </w:p>
    <w:p>
      <w:pPr>
        <w:spacing w:line="560" w:lineRule="exact"/>
        <w:ind w:firstLine="1921" w:firstLineChars="600"/>
        <w:rPr>
          <w:rFonts w:ascii="宋体" w:hAnsi="宋体" w:cs="宋体"/>
          <w:b/>
          <w:sz w:val="32"/>
          <w:szCs w:val="32"/>
        </w:rPr>
      </w:pPr>
      <w:r>
        <w:rPr>
          <w:rFonts w:hint="eastAsia" w:ascii="宋体" w:hAnsi="宋体" w:cs="宋体"/>
          <w:b/>
          <w:sz w:val="32"/>
          <w:szCs w:val="32"/>
        </w:rPr>
        <w:t>单位负责人（签字）：</w:t>
      </w:r>
    </w:p>
    <w:p>
      <w:pPr>
        <w:spacing w:line="435" w:lineRule="auto"/>
      </w:pPr>
    </w:p>
    <w:p>
      <w:pPr>
        <w:spacing w:before="184" w:line="210" w:lineRule="auto"/>
        <w:ind w:left="1255"/>
        <w:rPr>
          <w:rFonts w:ascii="微软雅黑" w:hAnsi="微软雅黑" w:eastAsia="微软雅黑" w:cs="微软雅黑"/>
          <w:sz w:val="43"/>
          <w:szCs w:val="43"/>
        </w:rPr>
      </w:pPr>
    </w:p>
    <w:p>
      <w:pPr>
        <w:spacing w:line="255" w:lineRule="auto"/>
      </w:pPr>
    </w:p>
    <w:p>
      <w:pPr>
        <w:spacing w:line="255" w:lineRule="auto"/>
      </w:pPr>
    </w:p>
    <w:p>
      <w:pPr>
        <w:spacing w:line="255" w:lineRule="auto"/>
      </w:pPr>
    </w:p>
    <w:p>
      <w:pPr>
        <w:spacing w:line="255" w:lineRule="auto"/>
      </w:pPr>
    </w:p>
    <w:p>
      <w:pPr>
        <w:spacing w:before="185" w:line="183" w:lineRule="auto"/>
        <w:ind w:left="3575"/>
        <w:rPr>
          <w:rFonts w:ascii="微软雅黑" w:hAnsi="微软雅黑" w:eastAsia="微软雅黑" w:cs="微软雅黑"/>
          <w:sz w:val="43"/>
          <w:szCs w:val="43"/>
        </w:rPr>
      </w:pPr>
      <w:r>
        <w:rPr>
          <w:rFonts w:ascii="微软雅黑" w:hAnsi="微软雅黑" w:eastAsia="微软雅黑" w:cs="微软雅黑"/>
          <w:spacing w:val="-12"/>
          <w:sz w:val="43"/>
          <w:szCs w:val="43"/>
        </w:rPr>
        <w:t>目</w:t>
      </w:r>
      <w:r>
        <w:rPr>
          <w:rFonts w:ascii="微软雅黑" w:hAnsi="微软雅黑" w:eastAsia="微软雅黑" w:cs="微软雅黑"/>
          <w:spacing w:val="-6"/>
          <w:sz w:val="43"/>
          <w:szCs w:val="43"/>
        </w:rPr>
        <w:t xml:space="preserve">       录</w:t>
      </w:r>
    </w:p>
    <w:p>
      <w:pPr>
        <w:spacing w:line="273" w:lineRule="auto"/>
      </w:pPr>
    </w:p>
    <w:p>
      <w:pPr>
        <w:spacing w:line="273" w:lineRule="auto"/>
      </w:pPr>
    </w:p>
    <w:p>
      <w:pPr>
        <w:spacing w:before="101" w:line="226" w:lineRule="auto"/>
        <w:ind w:left="619"/>
        <w:rPr>
          <w:rFonts w:ascii="黑体" w:hAnsi="黑体" w:eastAsia="黑体" w:cs="黑体"/>
          <w:sz w:val="31"/>
          <w:szCs w:val="31"/>
        </w:rPr>
      </w:pPr>
      <w:r>
        <w:rPr>
          <w:rFonts w:ascii="黑体" w:hAnsi="黑体" w:eastAsia="黑体" w:cs="黑体"/>
          <w:spacing w:val="-12"/>
          <w:sz w:val="31"/>
          <w:szCs w:val="31"/>
        </w:rPr>
        <w:t>第</w:t>
      </w:r>
      <w:r>
        <w:rPr>
          <w:rFonts w:ascii="黑体" w:hAnsi="黑体" w:eastAsia="黑体" w:cs="黑体"/>
          <w:spacing w:val="-7"/>
          <w:sz w:val="31"/>
          <w:szCs w:val="31"/>
        </w:rPr>
        <w:t>一</w:t>
      </w:r>
      <w:r>
        <w:rPr>
          <w:rFonts w:ascii="黑体" w:hAnsi="黑体" w:eastAsia="黑体" w:cs="黑体"/>
          <w:spacing w:val="-6"/>
          <w:sz w:val="31"/>
          <w:szCs w:val="31"/>
        </w:rPr>
        <w:t>部分： 部门概况</w:t>
      </w:r>
    </w:p>
    <w:p>
      <w:pPr>
        <w:spacing w:line="318" w:lineRule="auto"/>
      </w:pPr>
    </w:p>
    <w:p>
      <w:pPr>
        <w:spacing w:line="318" w:lineRule="auto"/>
      </w:pPr>
    </w:p>
    <w:p>
      <w:pPr>
        <w:spacing w:before="102" w:line="226" w:lineRule="auto"/>
        <w:ind w:left="619"/>
        <w:rPr>
          <w:rFonts w:ascii="黑体" w:hAnsi="黑体" w:eastAsia="黑体" w:cs="黑体"/>
          <w:sz w:val="31"/>
          <w:szCs w:val="31"/>
        </w:rPr>
      </w:pPr>
      <w:r>
        <w:rPr>
          <w:rFonts w:ascii="黑体" w:hAnsi="黑体" w:eastAsia="黑体" w:cs="黑体"/>
          <w:spacing w:val="-1"/>
          <w:sz w:val="31"/>
          <w:szCs w:val="31"/>
        </w:rPr>
        <w:t>第二部分</w:t>
      </w:r>
      <w:r>
        <w:rPr>
          <w:rFonts w:ascii="黑体" w:hAnsi="黑体" w:eastAsia="黑体" w:cs="黑体"/>
          <w:sz w:val="31"/>
          <w:szCs w:val="31"/>
        </w:rPr>
        <w:t xml:space="preserve">： </w:t>
      </w:r>
      <w:r>
        <w:rPr>
          <w:rFonts w:hint="eastAsia" w:ascii="黑体" w:hAnsi="黑体" w:eastAsia="黑体" w:cs="黑体"/>
          <w:sz w:val="31"/>
          <w:szCs w:val="31"/>
        </w:rPr>
        <w:t>贺州市博物馆</w:t>
      </w:r>
      <w:r>
        <w:rPr>
          <w:rFonts w:ascii="黑体" w:hAnsi="黑体" w:eastAsia="黑体" w:cs="黑体"/>
          <w:sz w:val="31"/>
          <w:szCs w:val="31"/>
        </w:rPr>
        <w:t xml:space="preserve"> 2023 年部门预算情况说明</w:t>
      </w:r>
    </w:p>
    <w:p>
      <w:pPr>
        <w:spacing w:line="318" w:lineRule="auto"/>
      </w:pPr>
    </w:p>
    <w:p>
      <w:pPr>
        <w:spacing w:line="318" w:lineRule="auto"/>
      </w:pPr>
    </w:p>
    <w:p>
      <w:pPr>
        <w:spacing w:before="101" w:line="226" w:lineRule="auto"/>
        <w:ind w:left="619"/>
        <w:rPr>
          <w:rFonts w:ascii="黑体" w:hAnsi="黑体" w:eastAsia="黑体" w:cs="黑体"/>
          <w:sz w:val="31"/>
          <w:szCs w:val="31"/>
        </w:rPr>
      </w:pPr>
      <w:r>
        <w:rPr>
          <w:rFonts w:ascii="黑体" w:hAnsi="黑体" w:eastAsia="黑体" w:cs="黑体"/>
          <w:spacing w:val="1"/>
          <w:sz w:val="31"/>
          <w:szCs w:val="31"/>
        </w:rPr>
        <w:t>第三部</w:t>
      </w:r>
      <w:r>
        <w:rPr>
          <w:rFonts w:ascii="黑体" w:hAnsi="黑体" w:eastAsia="黑体" w:cs="黑体"/>
          <w:sz w:val="31"/>
          <w:szCs w:val="31"/>
        </w:rPr>
        <w:t>分： 其他重要事项情况说明</w:t>
      </w:r>
    </w:p>
    <w:p>
      <w:pPr>
        <w:spacing w:line="316" w:lineRule="auto"/>
      </w:pPr>
    </w:p>
    <w:p>
      <w:pPr>
        <w:spacing w:line="317" w:lineRule="auto"/>
      </w:pPr>
    </w:p>
    <w:p>
      <w:pPr>
        <w:spacing w:before="102" w:line="227" w:lineRule="auto"/>
        <w:ind w:left="602"/>
        <w:rPr>
          <w:rFonts w:ascii="黑体" w:hAnsi="黑体" w:eastAsia="黑体" w:cs="黑体"/>
          <w:sz w:val="31"/>
          <w:szCs w:val="31"/>
        </w:rPr>
      </w:pPr>
      <w:r>
        <w:rPr>
          <w:rFonts w:ascii="黑体" w:hAnsi="黑体" w:eastAsia="黑体" w:cs="黑体"/>
          <w:spacing w:val="-12"/>
          <w:sz w:val="31"/>
          <w:szCs w:val="31"/>
        </w:rPr>
        <w:t>第</w:t>
      </w:r>
      <w:r>
        <w:rPr>
          <w:rFonts w:ascii="黑体" w:hAnsi="黑体" w:eastAsia="黑体" w:cs="黑体"/>
          <w:spacing w:val="-8"/>
          <w:sz w:val="31"/>
          <w:szCs w:val="31"/>
        </w:rPr>
        <w:t>四</w:t>
      </w:r>
      <w:r>
        <w:rPr>
          <w:rFonts w:ascii="黑体" w:hAnsi="黑体" w:eastAsia="黑体" w:cs="黑体"/>
          <w:spacing w:val="-6"/>
          <w:sz w:val="31"/>
          <w:szCs w:val="31"/>
        </w:rPr>
        <w:t>部分： 名词解释</w:t>
      </w:r>
    </w:p>
    <w:p>
      <w:pPr>
        <w:spacing w:line="317" w:lineRule="auto"/>
      </w:pPr>
    </w:p>
    <w:p>
      <w:pPr>
        <w:spacing w:line="317" w:lineRule="auto"/>
      </w:pPr>
    </w:p>
    <w:p>
      <w:pPr>
        <w:spacing w:before="101" w:line="227" w:lineRule="auto"/>
        <w:ind w:left="602"/>
        <w:sectPr>
          <w:footerReference r:id="rId3" w:type="default"/>
          <w:pgSz w:w="11906" w:h="16838"/>
          <w:pgMar w:top="1431" w:right="1473" w:bottom="1116" w:left="1624" w:header="0" w:footer="832" w:gutter="0"/>
          <w:pgNumType w:fmt="numberInDash"/>
          <w:cols w:space="720" w:num="1"/>
        </w:sectPr>
      </w:pPr>
      <w:r>
        <w:rPr>
          <w:rFonts w:ascii="黑体" w:hAnsi="黑体" w:eastAsia="黑体" w:cs="黑体"/>
          <w:spacing w:val="-1"/>
          <w:sz w:val="31"/>
          <w:szCs w:val="31"/>
        </w:rPr>
        <w:t>第五部分</w:t>
      </w:r>
      <w:r>
        <w:rPr>
          <w:rFonts w:ascii="黑体" w:hAnsi="黑体" w:eastAsia="黑体" w:cs="黑体"/>
          <w:sz w:val="31"/>
          <w:szCs w:val="31"/>
        </w:rPr>
        <w:t xml:space="preserve">： </w:t>
      </w:r>
      <w:r>
        <w:rPr>
          <w:rFonts w:hint="eastAsia" w:ascii="黑体" w:hAnsi="黑体" w:eastAsia="黑体" w:cs="黑体"/>
          <w:sz w:val="31"/>
          <w:szCs w:val="31"/>
        </w:rPr>
        <w:t>贺州市博物馆</w:t>
      </w:r>
      <w:r>
        <w:rPr>
          <w:rFonts w:ascii="黑体" w:hAnsi="黑体" w:eastAsia="黑体" w:cs="黑体"/>
          <w:sz w:val="31"/>
          <w:szCs w:val="31"/>
        </w:rPr>
        <w:t xml:space="preserve"> 2023 年单位预算公开报表</w:t>
      </w:r>
    </w:p>
    <w:p>
      <w:pPr>
        <w:spacing w:before="101" w:line="226" w:lineRule="auto"/>
        <w:ind w:firstLine="572" w:firstLineChars="200"/>
        <w:rPr>
          <w:rFonts w:ascii="黑体" w:hAnsi="黑体" w:eastAsia="黑体" w:cs="黑体"/>
          <w:sz w:val="31"/>
          <w:szCs w:val="31"/>
        </w:rPr>
      </w:pPr>
      <w:r>
        <w:rPr>
          <w:rFonts w:ascii="黑体" w:hAnsi="黑体" w:eastAsia="黑体" w:cs="黑体"/>
          <w:spacing w:val="-12"/>
          <w:sz w:val="31"/>
          <w:szCs w:val="31"/>
        </w:rPr>
        <w:t>第</w:t>
      </w:r>
      <w:r>
        <w:rPr>
          <w:rFonts w:ascii="黑体" w:hAnsi="黑体" w:eastAsia="黑体" w:cs="黑体"/>
          <w:spacing w:val="-7"/>
          <w:sz w:val="31"/>
          <w:szCs w:val="31"/>
        </w:rPr>
        <w:t>一</w:t>
      </w:r>
      <w:r>
        <w:rPr>
          <w:rFonts w:ascii="黑体" w:hAnsi="黑体" w:eastAsia="黑体" w:cs="黑体"/>
          <w:spacing w:val="-6"/>
          <w:sz w:val="31"/>
          <w:szCs w:val="31"/>
        </w:rPr>
        <w:t>部分： 部门概况</w:t>
      </w:r>
    </w:p>
    <w:p>
      <w:pPr>
        <w:spacing w:before="162" w:line="212" w:lineRule="auto"/>
        <w:ind w:left="640"/>
        <w:rPr>
          <w:rFonts w:ascii="微软雅黑" w:hAnsi="微软雅黑" w:eastAsia="微软雅黑" w:cs="微软雅黑"/>
          <w:sz w:val="31"/>
          <w:szCs w:val="31"/>
        </w:rPr>
      </w:pPr>
      <w:r>
        <w:rPr>
          <w:rFonts w:ascii="微软雅黑" w:hAnsi="微软雅黑" w:eastAsia="微软雅黑" w:cs="微软雅黑"/>
          <w:spacing w:val="23"/>
          <w:sz w:val="31"/>
          <w:szCs w:val="31"/>
        </w:rPr>
        <w:t>一</w:t>
      </w:r>
      <w:r>
        <w:rPr>
          <w:rFonts w:hint="eastAsia" w:ascii="微软雅黑" w:hAnsi="微软雅黑" w:eastAsia="微软雅黑" w:cs="微软雅黑"/>
          <w:spacing w:val="15"/>
          <w:sz w:val="31"/>
          <w:szCs w:val="31"/>
          <w:lang w:eastAsia="zh-CN"/>
        </w:rPr>
        <w:t>、</w:t>
      </w:r>
      <w:r>
        <w:rPr>
          <w:rFonts w:hint="eastAsia" w:ascii="微软雅黑" w:hAnsi="微软雅黑" w:eastAsia="微软雅黑" w:cs="微软雅黑"/>
          <w:spacing w:val="15"/>
          <w:sz w:val="31"/>
          <w:szCs w:val="31"/>
        </w:rPr>
        <w:t>贺州市博物馆</w:t>
      </w:r>
      <w:r>
        <w:rPr>
          <w:rFonts w:ascii="微软雅黑" w:hAnsi="微软雅黑" w:eastAsia="微软雅黑" w:cs="微软雅黑"/>
          <w:spacing w:val="15"/>
          <w:sz w:val="31"/>
          <w:szCs w:val="31"/>
        </w:rPr>
        <w:t>基本情况</w:t>
      </w:r>
    </w:p>
    <w:p>
      <w:pPr>
        <w:spacing w:before="106" w:line="225" w:lineRule="auto"/>
        <w:ind w:left="641"/>
        <w:rPr>
          <w:rFonts w:ascii="楷体" w:hAnsi="楷体" w:eastAsia="楷体" w:cs="楷体"/>
          <w:sz w:val="31"/>
          <w:szCs w:val="31"/>
        </w:rPr>
      </w:pPr>
      <w:r>
        <w:rPr>
          <w:rFonts w:ascii="楷体" w:hAnsi="楷体" w:eastAsia="楷体" w:cs="楷体"/>
          <w:spacing w:val="33"/>
          <w:sz w:val="31"/>
          <w:szCs w:val="31"/>
        </w:rPr>
        <w:t>(</w:t>
      </w:r>
      <w:r>
        <w:rPr>
          <w:rFonts w:ascii="楷体" w:hAnsi="楷体" w:eastAsia="楷体" w:cs="楷体"/>
          <w:spacing w:val="28"/>
          <w:sz w:val="31"/>
          <w:szCs w:val="31"/>
        </w:rPr>
        <w:t>一) 主要职能</w:t>
      </w:r>
    </w:p>
    <w:p>
      <w:pPr>
        <w:spacing w:line="560" w:lineRule="exact"/>
        <w:ind w:firstLine="645"/>
        <w:rPr>
          <w:sz w:val="32"/>
          <w:szCs w:val="32"/>
        </w:rPr>
      </w:pPr>
      <w:r>
        <w:rPr>
          <w:rFonts w:hint="eastAsia" w:ascii="仿宋_GB2312" w:hAnsi="宋体" w:eastAsia="仿宋_GB2312" w:cs="宋体"/>
          <w:sz w:val="32"/>
          <w:szCs w:val="32"/>
        </w:rPr>
        <w:t>贺州市博物馆属公益性公共文化服务事业单位，宗旨是收藏展览文物、弘扬民族文化。业务范围是对文物的征集、展览、保管、鉴定、登编、宣传教育和相关研究。具体负责对具有历史、艺术、科学价值的历史文物、革命文物、纪念性文物、民俗民族文物、自然标本等文化遗产及自然遗产进行征集、收藏、保护、展览和科学研究，合理利用贺州的文化遗产为贺州的经济和社会发展服务。同时，负责全市客家文化遗产的保护、研究、收集、展示和传承等工作，以客家生态馆为依托，保护贺州市客家族的文化生态及其物质和非物质的文化遗产，合理开发和利用客家文化。</w:t>
      </w:r>
    </w:p>
    <w:p>
      <w:pPr>
        <w:spacing w:before="247" w:line="223" w:lineRule="auto"/>
        <w:ind w:left="641"/>
        <w:rPr>
          <w:rFonts w:ascii="楷体" w:hAnsi="楷体" w:eastAsia="楷体" w:cs="楷体"/>
          <w:sz w:val="31"/>
          <w:szCs w:val="31"/>
        </w:rPr>
      </w:pPr>
      <w:r>
        <w:rPr>
          <w:rFonts w:ascii="楷体" w:hAnsi="楷体" w:eastAsia="楷体" w:cs="楷体"/>
          <w:spacing w:val="26"/>
          <w:sz w:val="31"/>
          <w:szCs w:val="31"/>
        </w:rPr>
        <w:t>(</w:t>
      </w:r>
      <w:r>
        <w:rPr>
          <w:rFonts w:ascii="楷体" w:hAnsi="楷体" w:eastAsia="楷体" w:cs="楷体"/>
          <w:spacing w:val="25"/>
          <w:sz w:val="31"/>
          <w:szCs w:val="31"/>
        </w:rPr>
        <w:t>二) 机构设置情况</w:t>
      </w:r>
    </w:p>
    <w:p>
      <w:pPr>
        <w:spacing w:line="560" w:lineRule="exact"/>
        <w:ind w:firstLine="645"/>
        <w:rPr>
          <w:rFonts w:ascii="仿宋_GB2312" w:hAnsi="宋体" w:eastAsia="仿宋_GB2312" w:cs="宋体"/>
          <w:sz w:val="32"/>
          <w:szCs w:val="32"/>
        </w:rPr>
      </w:pPr>
      <w:r>
        <w:rPr>
          <w:rFonts w:hint="eastAsia" w:ascii="仿宋_GB2312" w:hAnsi="宋体" w:eastAsia="仿宋_GB2312" w:cs="宋体"/>
          <w:sz w:val="32"/>
          <w:szCs w:val="32"/>
        </w:rPr>
        <w:t>贺州市博物馆共有局属单位0个。</w:t>
      </w:r>
    </w:p>
    <w:p>
      <w:pPr>
        <w:spacing w:line="560" w:lineRule="exact"/>
        <w:ind w:firstLine="645"/>
        <w:rPr>
          <w:rFonts w:ascii="仿宋_GB2312" w:hAnsi="宋体" w:eastAsia="仿宋_GB2312" w:cs="宋体"/>
          <w:sz w:val="32"/>
          <w:szCs w:val="32"/>
        </w:rPr>
      </w:pPr>
      <w:r>
        <w:rPr>
          <w:rFonts w:hint="eastAsia" w:ascii="仿宋_GB2312" w:hAnsi="宋体" w:eastAsia="仿宋_GB2312" w:cs="宋体"/>
          <w:sz w:val="32"/>
          <w:szCs w:val="32"/>
        </w:rPr>
        <w:t>贺州市博物馆属贺州市文化广电和旅游局的正科级二层单位，为全额拨款事业单位。贺州市客家生态博物馆在贺州市博物馆挂牌。</w:t>
      </w:r>
    </w:p>
    <w:p>
      <w:pPr>
        <w:spacing w:line="560" w:lineRule="exact"/>
        <w:ind w:firstLine="645"/>
        <w:rPr>
          <w:rFonts w:ascii="仿宋_GB2312" w:hAnsi="宋体" w:eastAsia="仿宋_GB2312" w:cs="宋体"/>
          <w:sz w:val="32"/>
          <w:szCs w:val="32"/>
        </w:rPr>
      </w:pPr>
      <w:r>
        <w:rPr>
          <w:rFonts w:hint="eastAsia" w:ascii="仿宋_GB2312" w:hAnsi="宋体" w:eastAsia="仿宋_GB2312" w:cs="宋体"/>
          <w:sz w:val="32"/>
          <w:szCs w:val="32"/>
        </w:rPr>
        <w:t>本单位内设8个职能部门，分别是：办公室、陈列宣教部、档案信息部、客家生态馆、文物保管部、安全保卫部、研发部、设备技术保障部。</w:t>
      </w:r>
    </w:p>
    <w:p>
      <w:pPr>
        <w:spacing w:before="186" w:line="187" w:lineRule="auto"/>
        <w:ind w:left="644"/>
        <w:rPr>
          <w:rFonts w:ascii="微软雅黑" w:hAnsi="微软雅黑" w:eastAsia="微软雅黑" w:cs="微软雅黑"/>
          <w:sz w:val="31"/>
          <w:szCs w:val="31"/>
        </w:rPr>
      </w:pPr>
      <w:r>
        <w:rPr>
          <w:rFonts w:ascii="微软雅黑" w:hAnsi="微软雅黑" w:eastAsia="微软雅黑" w:cs="微软雅黑"/>
          <w:spacing w:val="14"/>
          <w:sz w:val="31"/>
          <w:szCs w:val="31"/>
        </w:rPr>
        <w:t>二</w:t>
      </w:r>
      <w:r>
        <w:rPr>
          <w:rFonts w:ascii="微软雅黑" w:hAnsi="微软雅黑" w:eastAsia="微软雅黑" w:cs="微软雅黑"/>
          <w:spacing w:val="8"/>
          <w:sz w:val="31"/>
          <w:szCs w:val="31"/>
        </w:rPr>
        <w:t>、人员构成情况</w:t>
      </w:r>
    </w:p>
    <w:p>
      <w:pPr>
        <w:spacing w:line="560" w:lineRule="exact"/>
        <w:ind w:firstLine="645"/>
        <w:rPr>
          <w:rFonts w:ascii="仿宋_GB2312" w:hAnsi="宋体" w:eastAsia="仿宋_GB2312" w:cs="宋体"/>
          <w:sz w:val="32"/>
          <w:szCs w:val="32"/>
        </w:rPr>
      </w:pPr>
      <w:r>
        <w:rPr>
          <w:rFonts w:hint="eastAsia" w:ascii="仿宋_GB2312" w:hAnsi="宋体" w:eastAsia="仿宋_GB2312" w:cs="宋体"/>
          <w:sz w:val="32"/>
          <w:szCs w:val="32"/>
        </w:rPr>
        <w:t>贺州市博物馆人员编制总数为14人，其中行政编制0人，事业编制14人，机关后勤服务中心聘用人员控制数0人。实有财政供养人数16人，其中行政在职0人，事业在职13人 (含聘用人员控制数)，离退休人员3人 (其中享受离休待遇0人 ) 。编外在职实有人数16人。其中自行管理的编外聘用人员8人，“4050”公益岗位人员6人，临时聘用人员2人。</w:t>
      </w:r>
    </w:p>
    <w:p>
      <w:pPr>
        <w:spacing w:line="312" w:lineRule="auto"/>
      </w:pPr>
    </w:p>
    <w:p>
      <w:pPr>
        <w:spacing w:before="101" w:line="226" w:lineRule="auto"/>
        <w:ind w:left="651"/>
        <w:rPr>
          <w:rFonts w:ascii="黑体" w:hAnsi="黑体" w:eastAsia="黑体" w:cs="黑体"/>
          <w:sz w:val="31"/>
          <w:szCs w:val="31"/>
        </w:rPr>
      </w:pPr>
      <w:r>
        <w:rPr>
          <w:rFonts w:ascii="黑体" w:hAnsi="黑体" w:eastAsia="黑体" w:cs="黑体"/>
          <w:spacing w:val="6"/>
          <w:sz w:val="31"/>
          <w:szCs w:val="31"/>
        </w:rPr>
        <w:t>第二部分：</w:t>
      </w:r>
      <w:r>
        <w:rPr>
          <w:rFonts w:hint="eastAsia" w:ascii="黑体" w:hAnsi="黑体" w:eastAsia="黑体" w:cs="黑体"/>
          <w:sz w:val="31"/>
          <w:szCs w:val="31"/>
        </w:rPr>
        <w:t>贺州市博物馆</w:t>
      </w:r>
      <w:r>
        <w:rPr>
          <w:rFonts w:ascii="黑体" w:hAnsi="黑体" w:eastAsia="黑体" w:cs="黑体"/>
          <w:spacing w:val="6"/>
          <w:sz w:val="31"/>
          <w:szCs w:val="31"/>
        </w:rPr>
        <w:t xml:space="preserve"> 2023 年部门预算情况说明</w:t>
      </w:r>
    </w:p>
    <w:p>
      <w:pPr>
        <w:spacing w:before="177" w:line="188" w:lineRule="auto"/>
        <w:ind w:left="642"/>
        <w:rPr>
          <w:rFonts w:ascii="微软雅黑" w:hAnsi="微软雅黑" w:eastAsia="微软雅黑" w:cs="微软雅黑"/>
          <w:sz w:val="31"/>
          <w:szCs w:val="31"/>
        </w:rPr>
      </w:pPr>
      <w:r>
        <w:rPr>
          <w:rFonts w:ascii="微软雅黑" w:hAnsi="微软雅黑" w:eastAsia="微软雅黑" w:cs="微软雅黑"/>
          <w:spacing w:val="13"/>
          <w:sz w:val="31"/>
          <w:szCs w:val="31"/>
        </w:rPr>
        <w:t>一</w:t>
      </w:r>
      <w:r>
        <w:rPr>
          <w:rFonts w:ascii="微软雅黑" w:hAnsi="微软雅黑" w:eastAsia="微软雅黑" w:cs="微软雅黑"/>
          <w:spacing w:val="9"/>
          <w:sz w:val="31"/>
          <w:szCs w:val="31"/>
        </w:rPr>
        <w:t>、收支总体情况说明</w:t>
      </w:r>
    </w:p>
    <w:p>
      <w:pPr>
        <w:spacing w:before="144" w:line="225" w:lineRule="auto"/>
        <w:ind w:left="643"/>
        <w:rPr>
          <w:rFonts w:ascii="楷体" w:hAnsi="楷体" w:eastAsia="楷体" w:cs="楷体"/>
          <w:sz w:val="31"/>
          <w:szCs w:val="31"/>
        </w:rPr>
      </w:pPr>
      <w:r>
        <w:rPr>
          <w:rFonts w:ascii="楷体" w:hAnsi="楷体" w:eastAsia="楷体" w:cs="楷体"/>
          <w:spacing w:val="23"/>
          <w:sz w:val="31"/>
          <w:szCs w:val="31"/>
        </w:rPr>
        <w:t>(一) 收入预算说明</w:t>
      </w:r>
      <w:r>
        <w:rPr>
          <w:rFonts w:ascii="楷体" w:hAnsi="楷体" w:eastAsia="楷体" w:cs="楷体"/>
          <w:spacing w:val="21"/>
          <w:sz w:val="31"/>
          <w:szCs w:val="31"/>
        </w:rPr>
        <w:t>。</w:t>
      </w:r>
    </w:p>
    <w:p>
      <w:pPr>
        <w:spacing w:line="560" w:lineRule="exact"/>
        <w:ind w:firstLine="645"/>
        <w:rPr>
          <w:rFonts w:ascii="仿宋_GB2312" w:hAnsi="宋体" w:eastAsia="仿宋_GB2312" w:cs="宋体"/>
          <w:sz w:val="32"/>
          <w:szCs w:val="32"/>
        </w:rPr>
      </w:pPr>
      <w:r>
        <w:rPr>
          <w:rFonts w:hint="eastAsia" w:ascii="仿宋_GB2312" w:hAnsi="宋体" w:eastAsia="仿宋_GB2312" w:cs="宋体"/>
          <w:sz w:val="32"/>
          <w:szCs w:val="32"/>
        </w:rPr>
        <w:t>2023 年部门预算总收入375.27万元，同比增加168.54万元，增长81.53%，其中：</w:t>
      </w:r>
    </w:p>
    <w:p>
      <w:pPr>
        <w:spacing w:line="560" w:lineRule="exact"/>
        <w:ind w:firstLine="645"/>
        <w:rPr>
          <w:rFonts w:ascii="仿宋_GB2312" w:hAnsi="宋体" w:eastAsia="仿宋_GB2312" w:cs="宋体"/>
          <w:sz w:val="32"/>
          <w:szCs w:val="32"/>
        </w:rPr>
      </w:pPr>
      <w:r>
        <w:rPr>
          <w:rFonts w:hint="eastAsia" w:ascii="仿宋_GB2312" w:hAnsi="宋体" w:eastAsia="仿宋_GB2312" w:cs="宋体"/>
          <w:sz w:val="32"/>
          <w:szCs w:val="32"/>
        </w:rPr>
        <w:t>1.一般公共预算拨款375.27万元，同比增加168.54万元，增长81.53 %。其中：市本级经费拨款222.94万元，同比增加16.21万元，增长7.84%；上年结转152.33万元，同比增加152.33万元。收入增加的主要原因是增加了上年结转的</w:t>
      </w:r>
      <w:r>
        <w:rPr>
          <w:rFonts w:hint="eastAsia" w:ascii="仿宋_GB2312" w:eastAsia="仿宋_GB2312"/>
          <w:sz w:val="32"/>
          <w:szCs w:val="32"/>
        </w:rPr>
        <w:t>中央和自治区补助博物馆免费开放</w:t>
      </w:r>
      <w:r>
        <w:rPr>
          <w:rFonts w:hint="eastAsia" w:ascii="仿宋_GB2312" w:hAnsi="宋体" w:eastAsia="仿宋_GB2312" w:cs="宋体"/>
          <w:sz w:val="32"/>
          <w:szCs w:val="32"/>
        </w:rPr>
        <w:t>项目经费151.12万元。</w:t>
      </w:r>
    </w:p>
    <w:p>
      <w:pPr>
        <w:spacing w:line="560" w:lineRule="exact"/>
        <w:ind w:firstLine="645"/>
        <w:rPr>
          <w:rFonts w:ascii="仿宋_GB2312" w:hAnsi="宋体" w:eastAsia="仿宋_GB2312" w:cs="宋体"/>
          <w:sz w:val="32"/>
          <w:szCs w:val="32"/>
        </w:rPr>
      </w:pPr>
      <w:r>
        <w:rPr>
          <w:rFonts w:hint="eastAsia" w:ascii="仿宋_GB2312" w:hAnsi="宋体" w:eastAsia="仿宋_GB2312" w:cs="宋体"/>
          <w:sz w:val="32"/>
          <w:szCs w:val="32"/>
        </w:rPr>
        <w:t>2.政府性基金拨款0万元，同比无增减。</w:t>
      </w:r>
    </w:p>
    <w:p>
      <w:pPr>
        <w:spacing w:before="196" w:line="225" w:lineRule="auto"/>
        <w:ind w:left="643"/>
        <w:rPr>
          <w:rFonts w:ascii="楷体" w:hAnsi="楷体" w:eastAsia="楷体" w:cs="楷体"/>
          <w:sz w:val="31"/>
          <w:szCs w:val="31"/>
        </w:rPr>
      </w:pPr>
      <w:r>
        <w:rPr>
          <w:rFonts w:ascii="楷体" w:hAnsi="楷体" w:eastAsia="楷体" w:cs="楷体"/>
          <w:spacing w:val="23"/>
          <w:sz w:val="31"/>
          <w:szCs w:val="31"/>
        </w:rPr>
        <w:t>(二) 支出预算说明</w:t>
      </w:r>
      <w:r>
        <w:rPr>
          <w:rFonts w:ascii="楷体" w:hAnsi="楷体" w:eastAsia="楷体" w:cs="楷体"/>
          <w:spacing w:val="21"/>
          <w:sz w:val="31"/>
          <w:szCs w:val="31"/>
        </w:rPr>
        <w:t>。</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pacing w:val="-14"/>
          <w:sz w:val="32"/>
          <w:szCs w:val="32"/>
        </w:rPr>
        <w:t>202</w:t>
      </w:r>
      <w:r>
        <w:rPr>
          <w:rFonts w:hint="eastAsia" w:ascii="仿宋_GB2312" w:hAnsi="仿宋_GB2312" w:eastAsia="仿宋_GB2312" w:cs="仿宋_GB2312"/>
          <w:spacing w:val="-9"/>
          <w:sz w:val="32"/>
          <w:szCs w:val="32"/>
        </w:rPr>
        <w:t>3</w:t>
      </w:r>
      <w:r>
        <w:rPr>
          <w:rFonts w:hint="eastAsia" w:ascii="仿宋_GB2312" w:hAnsi="仿宋_GB2312" w:eastAsia="仿宋_GB2312" w:cs="仿宋_GB2312"/>
          <w:spacing w:val="-7"/>
          <w:sz w:val="32"/>
          <w:szCs w:val="32"/>
        </w:rPr>
        <w:t xml:space="preserve"> 年部门预算总支出375.27万元，</w:t>
      </w:r>
      <w:r>
        <w:rPr>
          <w:rFonts w:hint="eastAsia" w:ascii="仿宋_GB2312" w:hAnsi="仿宋_GB2312" w:eastAsia="仿宋_GB2312" w:cs="仿宋_GB2312"/>
          <w:sz w:val="32"/>
          <w:szCs w:val="32"/>
        </w:rPr>
        <w:t>同比增加168.54万元，增长81.53%，其中：</w:t>
      </w:r>
    </w:p>
    <w:p>
      <w:pPr>
        <w:spacing w:before="1" w:line="223" w:lineRule="auto"/>
        <w:ind w:left="650"/>
        <w:rPr>
          <w:rFonts w:ascii="仿宋" w:hAnsi="仿宋" w:eastAsia="仿宋" w:cs="仿宋"/>
          <w:sz w:val="31"/>
          <w:szCs w:val="31"/>
        </w:rPr>
      </w:pPr>
      <w:r>
        <w:rPr>
          <w:rFonts w:ascii="仿宋" w:hAnsi="仿宋" w:eastAsia="仿宋" w:cs="仿宋"/>
          <w:spacing w:val="-10"/>
          <w:sz w:val="31"/>
          <w:szCs w:val="31"/>
        </w:rPr>
        <w:t>按</w:t>
      </w:r>
      <w:r>
        <w:rPr>
          <w:rFonts w:ascii="仿宋" w:hAnsi="仿宋" w:eastAsia="仿宋" w:cs="仿宋"/>
          <w:spacing w:val="-6"/>
          <w:sz w:val="31"/>
          <w:szCs w:val="31"/>
        </w:rPr>
        <w:t>支出功能分类科目划分， 共分为</w:t>
      </w:r>
      <w:r>
        <w:rPr>
          <w:rFonts w:hint="eastAsia" w:ascii="仿宋" w:hAnsi="仿宋" w:eastAsia="宋体" w:cs="仿宋"/>
          <w:spacing w:val="-6"/>
          <w:sz w:val="31"/>
          <w:szCs w:val="31"/>
        </w:rPr>
        <w:t>4</w:t>
      </w:r>
      <w:r>
        <w:rPr>
          <w:rFonts w:ascii="仿宋" w:hAnsi="仿宋" w:eastAsia="仿宋" w:cs="仿宋"/>
          <w:spacing w:val="-6"/>
          <w:sz w:val="31"/>
          <w:szCs w:val="31"/>
        </w:rPr>
        <w:t>类:</w:t>
      </w:r>
    </w:p>
    <w:p>
      <w:pPr>
        <w:spacing w:line="560" w:lineRule="exact"/>
        <w:ind w:firstLine="645"/>
        <w:rPr>
          <w:rFonts w:ascii="仿宋_GB2312" w:eastAsia="仿宋_GB2312"/>
          <w:sz w:val="32"/>
          <w:szCs w:val="32"/>
        </w:rPr>
      </w:pPr>
      <w:r>
        <w:rPr>
          <w:rFonts w:hint="eastAsia" w:ascii="仿宋_GB2312" w:eastAsia="仿宋_GB2312"/>
          <w:sz w:val="32"/>
          <w:szCs w:val="32"/>
        </w:rPr>
        <w:t>（1）文化旅游体育与传媒支出316.14 万元，占支出总预算84.24％，同比增加171.60万元，</w:t>
      </w:r>
      <w:r>
        <w:rPr>
          <w:rFonts w:hint="eastAsia" w:ascii="仿宋_GB2312" w:hAnsi="Times New Roman" w:eastAsia="仿宋_GB2312"/>
          <w:sz w:val="32"/>
          <w:szCs w:val="32"/>
        </w:rPr>
        <w:t>增长118.72</w:t>
      </w:r>
      <w:r>
        <w:rPr>
          <w:rFonts w:hint="eastAsia" w:ascii="仿宋_GB2312" w:eastAsia="仿宋_GB2312"/>
          <w:sz w:val="32"/>
          <w:szCs w:val="32"/>
        </w:rPr>
        <w:t>％。主要原因是增加了中央和自治区补助博物馆免费开放</w:t>
      </w:r>
      <w:r>
        <w:rPr>
          <w:rFonts w:hint="eastAsia" w:ascii="仿宋_GB2312" w:hAnsi="宋体" w:eastAsia="仿宋_GB2312" w:cs="宋体"/>
          <w:sz w:val="32"/>
          <w:szCs w:val="32"/>
        </w:rPr>
        <w:t>项目经费151.12万元。</w:t>
      </w:r>
    </w:p>
    <w:p>
      <w:pPr>
        <w:pStyle w:val="2"/>
        <w:numPr>
          <w:ilvl w:val="0"/>
          <w:numId w:val="1"/>
        </w:numPr>
        <w:spacing w:line="560" w:lineRule="exact"/>
        <w:ind w:firstLine="660"/>
        <w:rPr>
          <w:rFonts w:ascii="仿宋_GB2312" w:eastAsia="仿宋_GB2312"/>
          <w:sz w:val="32"/>
          <w:szCs w:val="32"/>
        </w:rPr>
      </w:pPr>
      <w:r>
        <w:rPr>
          <w:rFonts w:hint="eastAsia" w:ascii="仿宋_GB2312" w:eastAsia="仿宋_GB2312"/>
          <w:sz w:val="32"/>
          <w:szCs w:val="32"/>
        </w:rPr>
        <w:t>社会保障和就业支出30.14 万元，占支出总预算8.03%，同比减少1.43万元，下降4.54%。主要</w:t>
      </w:r>
      <w:r>
        <w:rPr>
          <w:rFonts w:hint="eastAsia" w:ascii="仿宋_GB2312" w:hAnsi="Times New Roman" w:eastAsia="仿宋_GB2312"/>
          <w:sz w:val="32"/>
          <w:szCs w:val="32"/>
        </w:rPr>
        <w:t>原因是</w:t>
      </w:r>
      <w:r>
        <w:rPr>
          <w:rFonts w:hint="eastAsia" w:ascii="仿宋_GB2312" w:eastAsia="仿宋_GB2312"/>
          <w:sz w:val="32"/>
          <w:szCs w:val="32"/>
        </w:rPr>
        <w:t>缴费基数减少。</w:t>
      </w:r>
    </w:p>
    <w:p>
      <w:pPr>
        <w:pStyle w:val="2"/>
        <w:spacing w:line="56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（3）</w:t>
      </w:r>
      <w:r>
        <w:rPr>
          <w:rFonts w:hint="eastAsia" w:ascii="仿宋_GB2312" w:eastAsia="仿宋_GB2312"/>
          <w:sz w:val="32"/>
          <w:szCs w:val="32"/>
        </w:rPr>
        <w:t>卫生健康支出13.92 万元，占支出总预算3.71%，同比减少0.91万元，下降6.12%。主要</w:t>
      </w:r>
      <w:r>
        <w:rPr>
          <w:rFonts w:hint="eastAsia" w:ascii="仿宋_GB2312" w:hAnsi="Times New Roman" w:eastAsia="仿宋_GB2312"/>
          <w:sz w:val="32"/>
          <w:szCs w:val="32"/>
        </w:rPr>
        <w:t>原因是</w:t>
      </w:r>
      <w:r>
        <w:rPr>
          <w:rFonts w:hint="eastAsia" w:ascii="仿宋_GB2312" w:eastAsia="仿宋_GB2312"/>
          <w:sz w:val="32"/>
          <w:szCs w:val="32"/>
        </w:rPr>
        <w:t>缴费基数减少。</w:t>
      </w:r>
    </w:p>
    <w:p>
      <w:pPr>
        <w:wordWrap w:val="0"/>
        <w:spacing w:line="540" w:lineRule="exact"/>
        <w:ind w:right="-57" w:rightChars="-27" w:firstLine="640" w:firstLineChars="200"/>
      </w:pPr>
      <w:r>
        <w:rPr>
          <w:rFonts w:hint="eastAsia" w:ascii="仿宋_GB2312" w:eastAsia="仿宋_GB2312"/>
          <w:sz w:val="32"/>
          <w:szCs w:val="32"/>
        </w:rPr>
        <w:t>（4）住房保障支出15.07万元，占支出总预算4.02%，同比减少0.72万元，下降4.54%。主要</w:t>
      </w:r>
      <w:r>
        <w:rPr>
          <w:rFonts w:hint="eastAsia" w:ascii="仿宋_GB2312" w:hAnsi="Times New Roman" w:eastAsia="仿宋_GB2312"/>
          <w:sz w:val="32"/>
          <w:szCs w:val="32"/>
        </w:rPr>
        <w:t>原因是</w:t>
      </w:r>
      <w:r>
        <w:rPr>
          <w:rFonts w:hint="eastAsia" w:ascii="仿宋_GB2312" w:eastAsia="仿宋_GB2312"/>
          <w:sz w:val="32"/>
          <w:szCs w:val="32"/>
        </w:rPr>
        <w:t>缴费基数减少。</w:t>
      </w:r>
    </w:p>
    <w:p>
      <w:pPr>
        <w:spacing w:before="101" w:line="225" w:lineRule="auto"/>
        <w:ind w:left="637"/>
        <w:rPr>
          <w:rFonts w:hint="eastAsia" w:ascii="仿宋" w:hAnsi="仿宋" w:eastAsia="仿宋" w:cs="仿宋"/>
          <w:sz w:val="31"/>
          <w:szCs w:val="31"/>
          <w:lang w:eastAsia="zh-CN"/>
        </w:rPr>
      </w:pPr>
      <w:r>
        <w:rPr>
          <w:rFonts w:ascii="仿宋" w:hAnsi="仿宋" w:eastAsia="仿宋" w:cs="仿宋"/>
          <w:spacing w:val="18"/>
          <w:sz w:val="31"/>
          <w:szCs w:val="31"/>
        </w:rPr>
        <w:t>按</w:t>
      </w:r>
      <w:r>
        <w:rPr>
          <w:rFonts w:ascii="仿宋" w:hAnsi="仿宋" w:eastAsia="仿宋" w:cs="仿宋"/>
          <w:spacing w:val="10"/>
          <w:sz w:val="31"/>
          <w:szCs w:val="31"/>
        </w:rPr>
        <w:t>支出结构分类划分，分为基本支出预算和项目支出预算</w:t>
      </w:r>
    </w:p>
    <w:p>
      <w:pPr>
        <w:pStyle w:val="2"/>
        <w:spacing w:line="560" w:lineRule="exact"/>
        <w:ind w:firstLine="660"/>
        <w:rPr>
          <w:rFonts w:ascii="仿宋_GB2312" w:hAnsi="Times New Roman" w:eastAsia="仿宋_GB2312"/>
          <w:sz w:val="32"/>
          <w:szCs w:val="32"/>
        </w:rPr>
      </w:pPr>
      <w:r>
        <w:rPr>
          <w:rFonts w:hint="eastAsia" w:ascii="仿宋_GB2312" w:eastAsia="仿宋_GB2312"/>
          <w:sz w:val="32"/>
          <w:szCs w:val="32"/>
        </w:rPr>
        <w:t>基本支出191.94万元，占支出总预算的51.15%，同比增加16.21万元，增长9.22%。主要</w:t>
      </w:r>
      <w:r>
        <w:rPr>
          <w:rFonts w:hint="eastAsia" w:ascii="仿宋_GB2312" w:hAnsi="Times New Roman" w:eastAsia="仿宋_GB2312"/>
          <w:sz w:val="32"/>
          <w:szCs w:val="32"/>
        </w:rPr>
        <w:t>原因是增加在编人员2人，工资福利支出增加15.40万元。</w:t>
      </w:r>
    </w:p>
    <w:p>
      <w:pPr>
        <w:spacing w:line="560" w:lineRule="exact"/>
        <w:ind w:firstLine="645"/>
        <w:rPr>
          <w:rFonts w:ascii="仿宋_GB2312" w:eastAsia="仿宋_GB2312"/>
          <w:sz w:val="32"/>
          <w:szCs w:val="32"/>
        </w:rPr>
      </w:pPr>
      <w:r>
        <w:rPr>
          <w:rFonts w:hint="eastAsia" w:ascii="仿宋_GB2312" w:eastAsia="仿宋_GB2312"/>
          <w:sz w:val="32"/>
          <w:szCs w:val="32"/>
        </w:rPr>
        <w:t>项目支出183.33万元，占支出总预算的48.85%，同比增加152.33万元，增长491.39 %。主要原因是增加了中央和自治区补助博物馆免费开放</w:t>
      </w:r>
      <w:r>
        <w:rPr>
          <w:rFonts w:hint="eastAsia" w:ascii="仿宋_GB2312" w:hAnsi="宋体" w:eastAsia="仿宋_GB2312" w:cs="宋体"/>
          <w:sz w:val="32"/>
          <w:szCs w:val="32"/>
        </w:rPr>
        <w:t>项目经费151.12万元。</w:t>
      </w:r>
    </w:p>
    <w:p>
      <w:pPr>
        <w:spacing w:line="216" w:lineRule="auto"/>
        <w:ind w:left="647"/>
        <w:rPr>
          <w:rFonts w:ascii="微软雅黑" w:hAnsi="微软雅黑" w:eastAsia="微软雅黑" w:cs="微软雅黑"/>
          <w:sz w:val="31"/>
          <w:szCs w:val="31"/>
        </w:rPr>
      </w:pPr>
      <w:r>
        <w:rPr>
          <w:rFonts w:ascii="微软雅黑" w:hAnsi="微软雅黑" w:eastAsia="微软雅黑" w:cs="微软雅黑"/>
          <w:spacing w:val="15"/>
          <w:sz w:val="31"/>
          <w:szCs w:val="31"/>
        </w:rPr>
        <w:t>二</w:t>
      </w:r>
      <w:r>
        <w:rPr>
          <w:rFonts w:ascii="微软雅黑" w:hAnsi="微软雅黑" w:eastAsia="微软雅黑" w:cs="微软雅黑"/>
          <w:spacing w:val="9"/>
          <w:sz w:val="31"/>
          <w:szCs w:val="31"/>
        </w:rPr>
        <w:t>、部门财政拨款支出预算情况说明</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pacing w:val="-14"/>
          <w:sz w:val="32"/>
          <w:szCs w:val="32"/>
        </w:rPr>
        <w:t>20</w:t>
      </w:r>
      <w:r>
        <w:rPr>
          <w:rFonts w:hint="eastAsia" w:ascii="仿宋_GB2312" w:hAnsi="仿宋_GB2312" w:eastAsia="仿宋_GB2312" w:cs="仿宋_GB2312"/>
          <w:spacing w:val="-12"/>
          <w:sz w:val="32"/>
          <w:szCs w:val="32"/>
        </w:rPr>
        <w:t>2</w:t>
      </w:r>
      <w:r>
        <w:rPr>
          <w:rFonts w:hint="eastAsia" w:ascii="仿宋_GB2312" w:hAnsi="仿宋_GB2312" w:eastAsia="仿宋_GB2312" w:cs="仿宋_GB2312"/>
          <w:spacing w:val="-7"/>
          <w:sz w:val="32"/>
          <w:szCs w:val="32"/>
        </w:rPr>
        <w:t>3 年度财政拨款支出222.94万元，</w:t>
      </w:r>
      <w:r>
        <w:rPr>
          <w:rFonts w:hint="eastAsia" w:ascii="仿宋_GB2312" w:hAnsi="仿宋_GB2312" w:eastAsia="仿宋_GB2312" w:cs="仿宋_GB2312"/>
          <w:sz w:val="32"/>
          <w:szCs w:val="32"/>
        </w:rPr>
        <w:t>同比增加16.21万元，增长7.84%，其中：基本支出191.94万元，占支出总预算的86.09%，同比增加16.21万元，增长9.22%。项目支出31万元，占支出总预算的13.91%，同比无增减。</w:t>
      </w:r>
      <w:r>
        <w:rPr>
          <w:rFonts w:hint="eastAsia" w:ascii="仿宋_GB2312" w:hAnsi="仿宋_GB2312" w:eastAsia="仿宋_GB2312" w:cs="仿宋_GB2312"/>
          <w:spacing w:val="3"/>
          <w:sz w:val="32"/>
          <w:szCs w:val="32"/>
        </w:rPr>
        <w:t>具体支出预算如下：</w:t>
      </w:r>
    </w:p>
    <w:p>
      <w:pPr>
        <w:spacing w:before="2" w:line="333" w:lineRule="auto"/>
        <w:ind w:right="153" w:firstLine="640"/>
      </w:pPr>
      <w:r>
        <w:rPr>
          <w:rFonts w:ascii="楷体" w:hAnsi="楷体" w:eastAsia="楷体" w:cs="楷体"/>
          <w:spacing w:val="20"/>
          <w:sz w:val="31"/>
          <w:szCs w:val="31"/>
        </w:rPr>
        <w:t>(一</w:t>
      </w:r>
      <w:r>
        <w:rPr>
          <w:rFonts w:ascii="楷体" w:hAnsi="楷体" w:eastAsia="楷体" w:cs="楷体"/>
          <w:spacing w:val="10"/>
          <w:sz w:val="31"/>
          <w:szCs w:val="31"/>
        </w:rPr>
        <w:t>) 一般公共预算支出按支出功能分类科目划分。 (按一</w:t>
      </w:r>
      <w:r>
        <w:rPr>
          <w:rFonts w:ascii="楷体" w:hAnsi="楷体" w:eastAsia="楷体" w:cs="楷体"/>
          <w:spacing w:val="11"/>
          <w:sz w:val="31"/>
          <w:szCs w:val="31"/>
        </w:rPr>
        <w:t>般预算支出表的项级科目逐项说明</w:t>
      </w:r>
      <w:r>
        <w:rPr>
          <w:rFonts w:ascii="楷体" w:hAnsi="楷体" w:eastAsia="楷体" w:cs="楷体"/>
          <w:spacing w:val="9"/>
          <w:sz w:val="31"/>
          <w:szCs w:val="31"/>
        </w:rPr>
        <w:t>)</w:t>
      </w:r>
    </w:p>
    <w:p>
      <w:pPr>
        <w:wordWrap w:val="0"/>
        <w:spacing w:line="520" w:lineRule="exact"/>
        <w:ind w:right="-57" w:rightChars="-27" w:firstLine="640" w:firstLineChars="200"/>
        <w:rPr>
          <w:rFonts w:ascii="仿宋_GB2312" w:eastAsia="仿宋_GB2312"/>
          <w:sz w:val="32"/>
          <w:szCs w:val="32"/>
        </w:rPr>
      </w:pPr>
      <w:r>
        <w:rPr>
          <w:rFonts w:hint="eastAsia" w:ascii="仿宋_GB2312" w:eastAsia="仿宋_GB2312"/>
          <w:sz w:val="32"/>
          <w:szCs w:val="32"/>
        </w:rPr>
        <w:t>1.文物保护预算支出25万元，同比无增减。文物保护预算支出用于文物征集项目23万元，用于文物保护修复项目2万元。</w:t>
      </w:r>
    </w:p>
    <w:p>
      <w:pPr>
        <w:pStyle w:val="2"/>
        <w:spacing w:line="560" w:lineRule="exact"/>
        <w:ind w:firstLine="660"/>
        <w:rPr>
          <w:rFonts w:ascii="仿宋_GB2312" w:hAnsi="Times New Roman" w:eastAsia="仿宋_GB2312"/>
          <w:sz w:val="32"/>
          <w:szCs w:val="32"/>
        </w:rPr>
      </w:pPr>
      <w:r>
        <w:rPr>
          <w:rFonts w:hint="eastAsia" w:ascii="仿宋_GB2312" w:eastAsia="仿宋_GB2312"/>
          <w:sz w:val="32"/>
          <w:szCs w:val="32"/>
        </w:rPr>
        <w:t>2.博物馆预算支出138.81 万元，同比增加19.27万元，增长16.12%。主要</w:t>
      </w:r>
      <w:r>
        <w:rPr>
          <w:rFonts w:hint="eastAsia" w:ascii="仿宋_GB2312" w:hAnsi="Times New Roman" w:eastAsia="仿宋_GB2312"/>
          <w:sz w:val="32"/>
          <w:szCs w:val="32"/>
        </w:rPr>
        <w:t>原因是增加在编人员2人，工资福利支出增加15.40万元。</w:t>
      </w:r>
      <w:r>
        <w:rPr>
          <w:rFonts w:hint="eastAsia" w:ascii="仿宋_GB2312" w:eastAsia="仿宋_GB2312"/>
          <w:sz w:val="32"/>
          <w:szCs w:val="32"/>
        </w:rPr>
        <w:t>博物馆预算支出用于国家规定的基本工资和津补贴标准等安排的人员经费支出117.35元；用于本单位日常运转发生的公用经费支出15.46万元，包括办公费、水电费、培训费、差旅费、接待费、会议费、办公设备购置费、固定资产维修维护费、公务用车运行维护费等日常公用经费；用于博物馆免费开放、安防等项目支出6万。</w:t>
      </w:r>
    </w:p>
    <w:p>
      <w:pPr>
        <w:wordWrap w:val="0"/>
        <w:spacing w:line="520" w:lineRule="exact"/>
        <w:ind w:left="-6" w:leftChars="-3" w:right="-57" w:rightChars="-27" w:firstLine="572" w:firstLineChars="179"/>
        <w:rPr>
          <w:rFonts w:ascii="仿宋_GB2312" w:eastAsia="仿宋_GB2312"/>
          <w:sz w:val="32"/>
          <w:szCs w:val="32"/>
        </w:rPr>
      </w:pPr>
      <w:r>
        <w:rPr>
          <w:rFonts w:hint="eastAsia" w:ascii="仿宋_GB2312" w:eastAsia="仿宋_GB2312"/>
          <w:sz w:val="32"/>
          <w:szCs w:val="32"/>
        </w:rPr>
        <w:t>3.机关事业单位基本养老保险缴费支出预算20.09 万元，同比减少0.96万元，下降4.54%。原因是缴费率不变，缴费基数减少。该类支出用于国家规定的缴费标准安排的在职在编人员基本养老保险缴费支出。</w:t>
      </w:r>
    </w:p>
    <w:p>
      <w:pPr>
        <w:pStyle w:val="2"/>
        <w:spacing w:line="560" w:lineRule="exact"/>
        <w:ind w:firstLine="660"/>
        <w:rPr>
          <w:rFonts w:ascii="仿宋_GB2312" w:eastAsia="仿宋_GB2312"/>
          <w:sz w:val="32"/>
          <w:szCs w:val="32"/>
        </w:rPr>
      </w:pPr>
      <w:r>
        <w:rPr>
          <w:rFonts w:hint="eastAsia" w:ascii="仿宋_GB2312" w:hAnsi="Times New Roman" w:eastAsia="仿宋_GB2312"/>
          <w:sz w:val="32"/>
          <w:szCs w:val="32"/>
        </w:rPr>
        <w:t>4.机关事业单位职业年金缴费支出10.05万元，</w:t>
      </w:r>
      <w:r>
        <w:rPr>
          <w:rFonts w:hint="eastAsia" w:ascii="仿宋_GB2312" w:eastAsia="仿宋_GB2312"/>
          <w:sz w:val="32"/>
          <w:szCs w:val="32"/>
        </w:rPr>
        <w:t>同比减少0.48万元，下降4.54%。原因是缴费率不变，缴费基数减少。</w:t>
      </w:r>
    </w:p>
    <w:p>
      <w:pPr>
        <w:wordWrap w:val="0"/>
        <w:spacing w:line="520" w:lineRule="exact"/>
        <w:ind w:right="-57" w:rightChars="-27" w:firstLine="640" w:firstLineChars="200"/>
        <w:rPr>
          <w:rFonts w:ascii="仿宋_GB2312" w:eastAsia="仿宋_GB2312"/>
          <w:sz w:val="32"/>
          <w:szCs w:val="32"/>
        </w:rPr>
      </w:pPr>
      <w:r>
        <w:rPr>
          <w:rFonts w:hint="eastAsia" w:ascii="仿宋_GB2312" w:eastAsia="仿宋_GB2312"/>
          <w:sz w:val="32"/>
          <w:szCs w:val="32"/>
        </w:rPr>
        <w:t>5.事业单位医疗预算支出8.23万元，同比减少0.37万元，下降4.28</w:t>
      </w:r>
      <w:r>
        <w:rPr>
          <w:rFonts w:ascii="仿宋_GB2312" w:eastAsia="仿宋_GB2312"/>
          <w:sz w:val="32"/>
          <w:szCs w:val="32"/>
        </w:rPr>
        <w:t>%</w:t>
      </w:r>
      <w:r>
        <w:rPr>
          <w:rFonts w:hint="eastAsia" w:ascii="仿宋_GB2312" w:eastAsia="仿宋_GB2312"/>
          <w:sz w:val="32"/>
          <w:szCs w:val="32"/>
        </w:rPr>
        <w:t>。原因是缴费率不变，缴费基数减少。该类支出用于国家规定的缴费标准安排的在职在编人员医疗保险支出8.18万元，用于在职在编人员大病统筹缴费支出0.05万元。</w:t>
      </w:r>
    </w:p>
    <w:p>
      <w:pPr>
        <w:wordWrap w:val="0"/>
        <w:spacing w:line="520" w:lineRule="exact"/>
        <w:ind w:left="-6" w:leftChars="-3" w:right="-57" w:rightChars="-27" w:firstLine="572" w:firstLineChars="179"/>
        <w:rPr>
          <w:rFonts w:ascii="仿宋_GB2312" w:eastAsia="仿宋_GB2312"/>
          <w:sz w:val="32"/>
          <w:szCs w:val="32"/>
        </w:rPr>
      </w:pPr>
      <w:r>
        <w:rPr>
          <w:rFonts w:hint="eastAsia" w:ascii="仿宋_GB2312" w:eastAsia="仿宋_GB2312"/>
          <w:sz w:val="32"/>
          <w:szCs w:val="32"/>
        </w:rPr>
        <w:t>6.公务员医疗补助预算支出5.69万元，同比减少0.54万元，下降8.66%。原因是缴费率不变，缴费基数减少。该类支出用于国家规定的缴费标准安排的在职在编和退休人员公务员医疗补助支出。</w:t>
      </w:r>
    </w:p>
    <w:p>
      <w:pPr>
        <w:pStyle w:val="9"/>
        <w:keepNext w:val="0"/>
        <w:keepLines w:val="0"/>
        <w:pageBreakBefore w:val="0"/>
        <w:widowControl/>
        <w:kinsoku/>
        <w:wordWrap/>
        <w:overflowPunct/>
        <w:topLinePunct w:val="0"/>
        <w:autoSpaceDE/>
        <w:autoSpaceDN/>
        <w:bidi w:val="0"/>
        <w:adjustRightInd w:val="0"/>
        <w:snapToGrid w:val="0"/>
        <w:spacing w:line="560" w:lineRule="exact"/>
        <w:ind w:right="0" w:rightChars="0"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rPr>
        <w:t>7.住房公积金预算支出15.07万元，同比减少0.72万元，下降4.54%。原因是缴费率不变，缴费基数减少。该类支出用于国家规定的住房公积金标准安排的在职在编人员住房公积金支出。</w:t>
      </w:r>
      <w:r>
        <w:rPr>
          <w:rFonts w:hint="eastAsia" w:ascii="仿宋_GB2312" w:eastAsia="仿宋_GB2312"/>
          <w:sz w:val="32"/>
          <w:szCs w:val="32"/>
          <w:lang w:val="en-US" w:eastAsia="zh-CN"/>
        </w:rPr>
        <w:t xml:space="preserve">           </w:t>
      </w:r>
    </w:p>
    <w:p>
      <w:pPr>
        <w:pStyle w:val="9"/>
        <w:keepNext w:val="0"/>
        <w:keepLines w:val="0"/>
        <w:pageBreakBefore w:val="0"/>
        <w:widowControl/>
        <w:kinsoku/>
        <w:wordWrap/>
        <w:overflowPunct/>
        <w:topLinePunct w:val="0"/>
        <w:autoSpaceDE/>
        <w:autoSpaceDN/>
        <w:bidi w:val="0"/>
        <w:adjustRightInd w:val="0"/>
        <w:snapToGrid w:val="0"/>
        <w:spacing w:line="560" w:lineRule="exact"/>
        <w:ind w:right="0" w:rightChars="0" w:firstLine="640"/>
        <w:jc w:val="both"/>
        <w:textAlignment w:val="auto"/>
        <w:rPr>
          <w:rFonts w:ascii="楷体" w:hAnsi="楷体" w:eastAsia="楷体" w:cs="楷体"/>
          <w:sz w:val="31"/>
          <w:szCs w:val="31"/>
        </w:rPr>
      </w:pPr>
      <w:r>
        <w:rPr>
          <w:rFonts w:ascii="楷体" w:hAnsi="楷体" w:eastAsia="楷体" w:cs="楷体"/>
          <w:spacing w:val="18"/>
          <w:sz w:val="31"/>
          <w:szCs w:val="31"/>
        </w:rPr>
        <w:t>(二) 一般公共预算支出基本支出情况</w:t>
      </w:r>
      <w:r>
        <w:rPr>
          <w:rFonts w:ascii="楷体" w:hAnsi="楷体" w:eastAsia="楷体" w:cs="楷体"/>
          <w:spacing w:val="14"/>
          <w:sz w:val="31"/>
          <w:szCs w:val="31"/>
        </w:rPr>
        <w:t>。</w:t>
      </w:r>
    </w:p>
    <w:p>
      <w:pPr>
        <w:spacing w:before="185" w:line="224" w:lineRule="auto"/>
        <w:ind w:left="665"/>
        <w:rPr>
          <w:rFonts w:ascii="仿宋_GB2312" w:eastAsia="仿宋_GB2312"/>
          <w:sz w:val="32"/>
          <w:szCs w:val="32"/>
        </w:rPr>
      </w:pPr>
      <w:r>
        <w:rPr>
          <w:rFonts w:ascii="仿宋_GB2312" w:eastAsia="仿宋_GB2312"/>
          <w:sz w:val="32"/>
          <w:szCs w:val="32"/>
        </w:rPr>
        <w:t>2023 年一般公共预算基本支出</w:t>
      </w:r>
      <w:r>
        <w:rPr>
          <w:rFonts w:hint="eastAsia" w:ascii="仿宋_GB2312" w:eastAsia="仿宋_GB2312"/>
          <w:sz w:val="32"/>
          <w:szCs w:val="32"/>
        </w:rPr>
        <w:t>191.94</w:t>
      </w:r>
      <w:r>
        <w:rPr>
          <w:rFonts w:ascii="仿宋_GB2312" w:eastAsia="仿宋_GB2312"/>
          <w:sz w:val="32"/>
          <w:szCs w:val="32"/>
        </w:rPr>
        <w:t>万元。其中：</w:t>
      </w:r>
    </w:p>
    <w:p>
      <w:pPr>
        <w:spacing w:before="192" w:line="333" w:lineRule="auto"/>
        <w:ind w:left="10" w:right="48" w:firstLine="646"/>
        <w:rPr>
          <w:rFonts w:ascii="仿宋_GB2312" w:eastAsia="仿宋_GB2312"/>
          <w:sz w:val="32"/>
          <w:szCs w:val="32"/>
        </w:rPr>
      </w:pPr>
      <w:r>
        <w:rPr>
          <w:rFonts w:ascii="仿宋_GB2312" w:eastAsia="仿宋_GB2312"/>
          <w:sz w:val="32"/>
          <w:szCs w:val="32"/>
        </w:rPr>
        <w:t>人员经费</w:t>
      </w:r>
      <w:r>
        <w:rPr>
          <w:rFonts w:hint="eastAsia" w:ascii="仿宋_GB2312" w:eastAsia="仿宋_GB2312"/>
          <w:sz w:val="32"/>
          <w:szCs w:val="32"/>
        </w:rPr>
        <w:t>176.48</w:t>
      </w:r>
      <w:r>
        <w:rPr>
          <w:rFonts w:ascii="仿宋_GB2312" w:eastAsia="仿宋_GB2312"/>
          <w:sz w:val="32"/>
          <w:szCs w:val="32"/>
        </w:rPr>
        <w:t>万元，主要包括： 基本工资、津贴补贴、绩效工资、机关事业单位基本养老保险缴费、职业年金缴费、职工基本医疗保险缴费、公务员医疗补助缴费、其他社会保障缴费、住房公积金、退休费、</w:t>
      </w:r>
      <w:r>
        <w:rPr>
          <w:rFonts w:hint="eastAsia" w:ascii="仿宋_GB2312" w:eastAsia="仿宋_GB2312"/>
          <w:sz w:val="32"/>
          <w:szCs w:val="32"/>
        </w:rPr>
        <w:t>独生子女保健费</w:t>
      </w:r>
      <w:r>
        <w:rPr>
          <w:rFonts w:ascii="仿宋_GB2312" w:eastAsia="仿宋_GB2312"/>
          <w:sz w:val="32"/>
          <w:szCs w:val="32"/>
        </w:rPr>
        <w:t xml:space="preserve">等。 </w:t>
      </w:r>
    </w:p>
    <w:p>
      <w:pPr>
        <w:tabs>
          <w:tab w:val="center" w:pos="4475"/>
        </w:tabs>
        <w:spacing w:line="560" w:lineRule="exact"/>
        <w:ind w:firstLine="640" w:firstLineChars="200"/>
        <w:rPr>
          <w:rFonts w:ascii="仿宋_GB2312" w:eastAsia="仿宋_GB2312"/>
          <w:sz w:val="32"/>
          <w:szCs w:val="32"/>
        </w:rPr>
      </w:pPr>
      <w:r>
        <w:rPr>
          <w:rFonts w:ascii="仿宋_GB2312" w:eastAsia="仿宋_GB2312"/>
          <w:sz w:val="32"/>
          <w:szCs w:val="32"/>
        </w:rPr>
        <w:t>公用经费</w:t>
      </w:r>
      <w:r>
        <w:rPr>
          <w:rFonts w:hint="eastAsia" w:ascii="仿宋_GB2312" w:eastAsia="仿宋_GB2312"/>
          <w:sz w:val="32"/>
          <w:szCs w:val="32"/>
        </w:rPr>
        <w:t>15.46</w:t>
      </w:r>
      <w:r>
        <w:rPr>
          <w:rFonts w:ascii="仿宋_GB2312" w:eastAsia="仿宋_GB2312"/>
          <w:sz w:val="32"/>
          <w:szCs w:val="32"/>
        </w:rPr>
        <w:t>万元，主要包括：</w:t>
      </w:r>
      <w:r>
        <w:rPr>
          <w:rFonts w:hint="eastAsia" w:ascii="仿宋_GB2312" w:eastAsia="仿宋_GB2312"/>
          <w:sz w:val="32"/>
          <w:szCs w:val="32"/>
        </w:rPr>
        <w:t>办公费、差旅费、维修（护）费、培训费、公务接待费、福利费、公务用车运行维护费、其他商品和服务支出、办公设备购置支出等。</w:t>
      </w:r>
    </w:p>
    <w:p>
      <w:pPr>
        <w:keepNext w:val="0"/>
        <w:keepLines w:val="0"/>
        <w:pageBreakBefore w:val="0"/>
        <w:widowControl/>
        <w:kinsoku w:val="0"/>
        <w:wordWrap/>
        <w:overflowPunct/>
        <w:topLinePunct w:val="0"/>
        <w:autoSpaceDE w:val="0"/>
        <w:autoSpaceDN w:val="0"/>
        <w:bidi w:val="0"/>
        <w:adjustRightInd w:val="0"/>
        <w:snapToGrid w:val="0"/>
        <w:spacing w:line="334" w:lineRule="auto"/>
        <w:ind w:left="0" w:firstLine="641"/>
        <w:textAlignment w:val="baseline"/>
        <w:rPr>
          <w:rFonts w:ascii="楷体" w:hAnsi="楷体" w:eastAsia="楷体" w:cs="楷体"/>
          <w:sz w:val="31"/>
          <w:szCs w:val="31"/>
        </w:rPr>
      </w:pPr>
      <w:r>
        <w:rPr>
          <w:rFonts w:ascii="仿宋" w:hAnsi="仿宋" w:eastAsia="仿宋" w:cs="仿宋"/>
          <w:sz w:val="31"/>
          <w:szCs w:val="31"/>
        </w:rPr>
        <w:t xml:space="preserve"> </w:t>
      </w:r>
      <w:r>
        <w:rPr>
          <w:rFonts w:ascii="楷体" w:hAnsi="楷体" w:eastAsia="楷体" w:cs="楷体"/>
          <w:spacing w:val="9"/>
          <w:sz w:val="31"/>
          <w:szCs w:val="31"/>
        </w:rPr>
        <w:t>(</w:t>
      </w:r>
      <w:r>
        <w:rPr>
          <w:rFonts w:ascii="楷体" w:hAnsi="楷体" w:eastAsia="楷体" w:cs="楷体"/>
          <w:spacing w:val="7"/>
          <w:sz w:val="31"/>
          <w:szCs w:val="31"/>
        </w:rPr>
        <w:t xml:space="preserve">三) 项目支出 </w:t>
      </w:r>
    </w:p>
    <w:p>
      <w:pPr>
        <w:tabs>
          <w:tab w:val="center" w:pos="4475"/>
        </w:tabs>
        <w:spacing w:line="560" w:lineRule="exact"/>
        <w:ind w:firstLine="640" w:firstLineChars="200"/>
        <w:rPr>
          <w:rFonts w:ascii="楷体_GB2312" w:hAnsi="Times New Roman" w:eastAsia="楷体_GB2312"/>
          <w:b/>
          <w:bCs/>
          <w:color w:val="FF0000"/>
          <w:sz w:val="32"/>
        </w:rPr>
      </w:pPr>
      <w:r>
        <w:rPr>
          <w:rFonts w:hint="eastAsia" w:ascii="仿宋_GB2312" w:hAnsi="Times New Roman" w:eastAsia="仿宋_GB2312"/>
          <w:sz w:val="32"/>
          <w:szCs w:val="32"/>
        </w:rPr>
        <w:t>2023年一般公共预算项目支出</w:t>
      </w:r>
      <w:r>
        <w:rPr>
          <w:rFonts w:hint="eastAsia" w:ascii="仿宋_GB2312" w:eastAsia="仿宋_GB2312"/>
          <w:sz w:val="32"/>
          <w:szCs w:val="32"/>
        </w:rPr>
        <w:t>31</w:t>
      </w:r>
      <w:r>
        <w:rPr>
          <w:rFonts w:hint="eastAsia" w:ascii="仿宋_GB2312" w:hAnsi="Times New Roman" w:eastAsia="仿宋_GB2312"/>
          <w:sz w:val="32"/>
          <w:szCs w:val="32"/>
        </w:rPr>
        <w:t>万元。其中：</w:t>
      </w:r>
    </w:p>
    <w:p>
      <w:pPr>
        <w:widowControl w:val="0"/>
        <w:numPr>
          <w:ilvl w:val="0"/>
          <w:numId w:val="2"/>
        </w:numPr>
        <w:kinsoku/>
        <w:autoSpaceDE/>
        <w:autoSpaceDN/>
        <w:adjustRightInd/>
        <w:snapToGrid/>
        <w:spacing w:line="560" w:lineRule="exact"/>
        <w:ind w:left="-10" w:leftChars="0" w:right="-57" w:rightChars="-27" w:firstLine="640" w:firstLineChars="0"/>
        <w:jc w:val="both"/>
        <w:textAlignment w:val="auto"/>
        <w:rPr>
          <w:rFonts w:ascii="仿宋_GB2312" w:hAnsi="宋体" w:eastAsia="仿宋_GB2312" w:cs="宋体"/>
          <w:sz w:val="32"/>
          <w:szCs w:val="32"/>
        </w:rPr>
      </w:pPr>
      <w:r>
        <w:rPr>
          <w:rFonts w:hint="eastAsia" w:ascii="仿宋_GB2312" w:hAnsi="宋体" w:eastAsia="仿宋_GB2312" w:cs="宋体"/>
          <w:sz w:val="32"/>
          <w:szCs w:val="32"/>
        </w:rPr>
        <w:t>博物馆免费开放经费2万元。</w:t>
      </w:r>
      <w:r>
        <w:rPr>
          <w:rFonts w:hint="eastAsia" w:ascii="仿宋_GB2312" w:hAnsi="宋体" w:eastAsia="仿宋_GB2312" w:cs="宋体"/>
          <w:color w:val="auto"/>
          <w:sz w:val="32"/>
          <w:szCs w:val="32"/>
        </w:rPr>
        <w:t>博物馆免费开放是满足人民群众日益增长的精神文化需求，是保障人民群众基本文化权益的重要举措。博物馆2023年将继续做好免</w:t>
      </w:r>
      <w:r>
        <w:rPr>
          <w:rFonts w:hint="eastAsia" w:ascii="仿宋_GB2312" w:hAnsi="宋体" w:eastAsia="仿宋_GB2312" w:cs="宋体"/>
          <w:sz w:val="32"/>
          <w:szCs w:val="32"/>
        </w:rPr>
        <w:t>费开放工作，更新展览</w:t>
      </w:r>
      <w:r>
        <w:rPr>
          <w:rFonts w:hint="eastAsia" w:ascii="仿宋_GB2312" w:hAnsi="宋体" w:eastAsia="仿宋_GB2312" w:cs="宋体"/>
          <w:color w:val="auto"/>
          <w:sz w:val="32"/>
          <w:szCs w:val="32"/>
        </w:rPr>
        <w:t>内容，</w:t>
      </w:r>
      <w:r>
        <w:rPr>
          <w:rFonts w:hint="eastAsia" w:ascii="仿宋_GB2312" w:hAnsi="宋体" w:eastAsia="仿宋_GB2312" w:cs="宋体"/>
          <w:sz w:val="32"/>
          <w:szCs w:val="32"/>
        </w:rPr>
        <w:t>为广大观众提供优质的公共文化服务。经费用于正常开展免费开放展览的水电费、邮电费、展厅设备设施的维修费等支出。</w:t>
      </w:r>
    </w:p>
    <w:p>
      <w:pPr>
        <w:widowControl w:val="0"/>
        <w:numPr>
          <w:ilvl w:val="0"/>
          <w:numId w:val="2"/>
        </w:numPr>
        <w:kinsoku/>
        <w:autoSpaceDE/>
        <w:autoSpaceDN/>
        <w:adjustRightInd/>
        <w:snapToGrid/>
        <w:spacing w:line="560" w:lineRule="exact"/>
        <w:ind w:left="-10" w:leftChars="0" w:right="-57" w:rightChars="-27" w:firstLine="640" w:firstLineChars="0"/>
        <w:jc w:val="both"/>
        <w:textAlignment w:val="auto"/>
        <w:rPr>
          <w:rFonts w:ascii="仿宋_GB2312" w:hAnsi="宋体" w:eastAsia="仿宋_GB2312" w:cs="宋体"/>
          <w:sz w:val="32"/>
          <w:szCs w:val="32"/>
        </w:rPr>
      </w:pPr>
      <w:r>
        <w:rPr>
          <w:rFonts w:hint="eastAsia" w:ascii="仿宋_GB2312" w:hAnsi="宋体" w:eastAsia="仿宋_GB2312" w:cs="宋体"/>
          <w:sz w:val="32"/>
          <w:szCs w:val="32"/>
        </w:rPr>
        <w:t>馆藏纸质文物保护修复2万元。计划修复的纸质文物是研究贺州明代至民国时期政治制度和地方史的珍贵资料，具有较高的历史价值和艺术价值。计划纸质文物数量是2件套</w:t>
      </w:r>
      <w:r>
        <w:rPr>
          <w:rFonts w:hint="eastAsia" w:ascii="仿宋_GB2312" w:hAnsi="宋体" w:eastAsia="仿宋_GB2312" w:cs="宋体"/>
          <w:color w:val="auto"/>
          <w:sz w:val="32"/>
          <w:szCs w:val="32"/>
        </w:rPr>
        <w:t>，文物修</w:t>
      </w:r>
      <w:r>
        <w:rPr>
          <w:rFonts w:hint="eastAsia" w:ascii="仿宋_GB2312" w:hAnsi="宋体" w:eastAsia="仿宋_GB2312" w:cs="宋体"/>
          <w:sz w:val="32"/>
          <w:szCs w:val="32"/>
        </w:rPr>
        <w:t>复劳务费2万元。</w:t>
      </w:r>
    </w:p>
    <w:p>
      <w:pPr>
        <w:widowControl w:val="0"/>
        <w:numPr>
          <w:ilvl w:val="0"/>
          <w:numId w:val="2"/>
        </w:numPr>
        <w:kinsoku/>
        <w:autoSpaceDE/>
        <w:autoSpaceDN/>
        <w:adjustRightInd/>
        <w:snapToGrid/>
        <w:spacing w:line="560" w:lineRule="exact"/>
        <w:ind w:left="-10" w:leftChars="0" w:right="-57" w:rightChars="-27" w:firstLine="640" w:firstLineChars="0"/>
        <w:jc w:val="both"/>
        <w:textAlignment w:val="auto"/>
        <w:rPr>
          <w:rFonts w:ascii="仿宋_GB2312" w:hAnsi="宋体" w:eastAsia="仿宋_GB2312" w:cs="宋体"/>
          <w:sz w:val="32"/>
          <w:szCs w:val="32"/>
        </w:rPr>
      </w:pPr>
      <w:bookmarkStart w:id="0" w:name="OLE_LINK3"/>
      <w:r>
        <w:rPr>
          <w:rFonts w:hint="eastAsia" w:ascii="仿宋_GB2312" w:hAnsi="宋体" w:eastAsia="仿宋_GB2312" w:cs="宋体"/>
          <w:sz w:val="32"/>
          <w:szCs w:val="32"/>
        </w:rPr>
        <w:t>文物征集经费23万元</w:t>
      </w:r>
      <w:bookmarkEnd w:id="0"/>
      <w:r>
        <w:rPr>
          <w:rFonts w:hint="eastAsia" w:ascii="仿宋_GB2312" w:hAnsi="宋体" w:eastAsia="仿宋_GB2312" w:cs="宋体"/>
          <w:sz w:val="32"/>
          <w:szCs w:val="32"/>
        </w:rPr>
        <w:t>。文物征集是博物</w:t>
      </w:r>
      <w:r>
        <w:rPr>
          <w:rFonts w:hint="eastAsia" w:ascii="仿宋_GB2312" w:hAnsi="宋体" w:eastAsia="仿宋_GB2312" w:cs="宋体"/>
          <w:color w:val="auto"/>
          <w:sz w:val="32"/>
          <w:szCs w:val="32"/>
        </w:rPr>
        <w:t>馆的一项重要工作职责，2023年将继续做好反映贺州历史文化、红色文化、民族</w:t>
      </w:r>
      <w:r>
        <w:rPr>
          <w:rFonts w:hint="eastAsia" w:ascii="仿宋_GB2312" w:hAnsi="宋体" w:eastAsia="仿宋_GB2312" w:cs="宋体"/>
          <w:sz w:val="32"/>
          <w:szCs w:val="32"/>
        </w:rPr>
        <w:t>民俗文化和地域特色文化的藏品收集购买工作，丰富馆藏，加强文物保护。项目经费主要用于文物和陈列品购置。</w:t>
      </w:r>
    </w:p>
    <w:p>
      <w:pPr>
        <w:widowControl w:val="0"/>
        <w:numPr>
          <w:ilvl w:val="0"/>
          <w:numId w:val="2"/>
        </w:numPr>
        <w:kinsoku/>
        <w:autoSpaceDE/>
        <w:autoSpaceDN/>
        <w:adjustRightInd/>
        <w:snapToGrid/>
        <w:spacing w:line="560" w:lineRule="exact"/>
        <w:ind w:left="-10" w:leftChars="0" w:right="-57" w:rightChars="-27" w:firstLine="640" w:firstLineChars="0"/>
        <w:jc w:val="both"/>
        <w:textAlignment w:val="auto"/>
        <w:rPr>
          <w:rFonts w:ascii="仿宋_GB2312" w:hAnsi="宋体" w:eastAsia="仿宋_GB2312" w:cs="宋体"/>
          <w:color w:val="auto"/>
          <w:sz w:val="32"/>
          <w:szCs w:val="32"/>
        </w:rPr>
      </w:pPr>
      <w:r>
        <w:rPr>
          <w:rFonts w:hint="eastAsia" w:ascii="仿宋_GB2312" w:hAnsi="宋体" w:eastAsia="仿宋_GB2312" w:cs="宋体"/>
          <w:sz w:val="32"/>
          <w:szCs w:val="32"/>
        </w:rPr>
        <w:t>贺州市壁画研究0.50万元。用于壁画调研差旅费、工具材料费等支出，</w:t>
      </w:r>
      <w:r>
        <w:rPr>
          <w:rFonts w:hint="eastAsia" w:ascii="仿宋_GB2312" w:hAnsi="宋体" w:eastAsia="仿宋_GB2312" w:cs="宋体"/>
          <w:color w:val="auto"/>
          <w:sz w:val="32"/>
          <w:szCs w:val="32"/>
        </w:rPr>
        <w:t>贺州古建筑壁画里承载着丰富的传统文化内涵，为研究贺州的民俗风情和书画艺术发展史具有重要作用。</w:t>
      </w:r>
    </w:p>
    <w:p>
      <w:pPr>
        <w:widowControl w:val="0"/>
        <w:numPr>
          <w:ilvl w:val="0"/>
          <w:numId w:val="2"/>
        </w:numPr>
        <w:kinsoku/>
        <w:autoSpaceDE/>
        <w:autoSpaceDN/>
        <w:adjustRightInd/>
        <w:snapToGrid/>
        <w:spacing w:line="560" w:lineRule="exact"/>
        <w:ind w:left="-10" w:leftChars="0" w:right="-57" w:rightChars="-27" w:firstLine="640" w:firstLineChars="0"/>
        <w:jc w:val="both"/>
        <w:textAlignment w:val="auto"/>
        <w:rPr>
          <w:rFonts w:ascii="仿宋_GB2312" w:hAnsi="宋体" w:eastAsia="仿宋_GB2312" w:cs="宋体"/>
          <w:sz w:val="32"/>
          <w:szCs w:val="32"/>
        </w:rPr>
      </w:pPr>
      <w:r>
        <w:rPr>
          <w:rFonts w:hint="eastAsia" w:ascii="仿宋_GB2312" w:hAnsi="宋体" w:eastAsia="仿宋_GB2312" w:cs="宋体"/>
          <w:sz w:val="32"/>
          <w:szCs w:val="32"/>
        </w:rPr>
        <w:t>客家生态馆维护经费0.50万元。用于维持贺州市客家生态博物馆基本运转</w:t>
      </w:r>
      <w:r>
        <w:rPr>
          <w:rFonts w:hint="eastAsia" w:ascii="仿宋_GB2312" w:hAnsi="宋体" w:eastAsia="仿宋_GB2312" w:cs="宋体"/>
          <w:color w:val="auto"/>
          <w:sz w:val="32"/>
          <w:szCs w:val="32"/>
        </w:rPr>
        <w:t>所需</w:t>
      </w:r>
      <w:r>
        <w:rPr>
          <w:rFonts w:hint="eastAsia" w:ascii="仿宋_GB2312" w:hAnsi="宋体" w:eastAsia="仿宋_GB2312" w:cs="宋体"/>
          <w:sz w:val="32"/>
          <w:szCs w:val="32"/>
        </w:rPr>
        <w:t>的值守劳务费、电费等支出。</w:t>
      </w:r>
    </w:p>
    <w:p>
      <w:pPr>
        <w:widowControl w:val="0"/>
        <w:numPr>
          <w:ilvl w:val="0"/>
          <w:numId w:val="2"/>
        </w:numPr>
        <w:kinsoku/>
        <w:autoSpaceDE/>
        <w:autoSpaceDN/>
        <w:adjustRightInd/>
        <w:snapToGrid/>
        <w:spacing w:line="560" w:lineRule="exact"/>
        <w:ind w:left="-10" w:leftChars="0" w:right="-57" w:rightChars="-27" w:firstLine="640" w:firstLineChars="0"/>
        <w:jc w:val="both"/>
        <w:textAlignment w:val="auto"/>
        <w:rPr>
          <w:rFonts w:ascii="仿宋_GB2312" w:hAnsi="宋体" w:eastAsia="仿宋_GB2312" w:cs="宋体"/>
          <w:sz w:val="32"/>
          <w:szCs w:val="32"/>
        </w:rPr>
      </w:pPr>
      <w:r>
        <w:rPr>
          <w:rFonts w:hint="eastAsia" w:ascii="仿宋_GB2312" w:hAnsi="宋体" w:eastAsia="仿宋_GB2312" w:cs="宋体"/>
          <w:sz w:val="32"/>
          <w:szCs w:val="32"/>
        </w:rPr>
        <w:t>博物馆安防经费1.00万元。用于</w:t>
      </w:r>
      <w:r>
        <w:rPr>
          <w:rFonts w:hint="eastAsia" w:ascii="仿宋_GB2312" w:hAnsi="宋体" w:eastAsia="仿宋_GB2312" w:cs="宋体"/>
          <w:color w:val="auto"/>
          <w:sz w:val="32"/>
          <w:szCs w:val="32"/>
        </w:rPr>
        <w:t>博物馆场馆的</w:t>
      </w:r>
      <w:r>
        <w:rPr>
          <w:rFonts w:hint="eastAsia" w:ascii="仿宋_GB2312" w:hAnsi="宋体" w:eastAsia="仿宋_GB2312" w:cs="宋体"/>
          <w:sz w:val="32"/>
          <w:szCs w:val="32"/>
        </w:rPr>
        <w:t>安全和消防设备、设施维修维护费。</w:t>
      </w:r>
    </w:p>
    <w:p>
      <w:pPr>
        <w:widowControl w:val="0"/>
        <w:numPr>
          <w:ilvl w:val="0"/>
          <w:numId w:val="2"/>
        </w:numPr>
        <w:kinsoku/>
        <w:autoSpaceDE/>
        <w:autoSpaceDN/>
        <w:adjustRightInd/>
        <w:snapToGrid/>
        <w:spacing w:line="560" w:lineRule="exact"/>
        <w:ind w:left="-10" w:leftChars="0" w:right="-57" w:rightChars="-27" w:firstLine="640" w:firstLineChars="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博物馆业务经费支出2万元。用非税收入安排在职在编人员伙食补助，以及编外人员工资等支出。</w:t>
      </w:r>
    </w:p>
    <w:p>
      <w:pPr>
        <w:spacing w:before="242" w:line="188" w:lineRule="auto"/>
        <w:ind w:firstLine="519" w:firstLineChars="150"/>
        <w:rPr>
          <w:rFonts w:ascii="微软雅黑" w:hAnsi="微软雅黑" w:eastAsia="微软雅黑" w:cs="微软雅黑"/>
          <w:sz w:val="31"/>
          <w:szCs w:val="31"/>
        </w:rPr>
      </w:pPr>
      <w:r>
        <w:rPr>
          <w:rFonts w:ascii="微软雅黑" w:hAnsi="微软雅黑" w:eastAsia="微软雅黑" w:cs="微软雅黑"/>
          <w:spacing w:val="18"/>
          <w:sz w:val="31"/>
          <w:szCs w:val="31"/>
        </w:rPr>
        <w:t>三</w:t>
      </w:r>
      <w:r>
        <w:rPr>
          <w:rFonts w:ascii="微软雅黑" w:hAnsi="微软雅黑" w:eastAsia="微软雅黑" w:cs="微软雅黑"/>
          <w:spacing w:val="10"/>
          <w:sz w:val="31"/>
          <w:szCs w:val="31"/>
        </w:rPr>
        <w:t>、</w:t>
      </w:r>
      <w:r>
        <w:rPr>
          <w:rFonts w:ascii="微软雅黑" w:hAnsi="微软雅黑" w:eastAsia="微软雅黑" w:cs="微软雅黑"/>
          <w:spacing w:val="9"/>
          <w:sz w:val="31"/>
          <w:szCs w:val="31"/>
        </w:rPr>
        <w:t>一般公共预算“三公”经费支出情况说明</w:t>
      </w:r>
    </w:p>
    <w:p>
      <w:pPr>
        <w:widowControl w:val="0"/>
        <w:numPr>
          <w:ilvl w:val="0"/>
          <w:numId w:val="3"/>
        </w:numPr>
        <w:kinsoku/>
        <w:autoSpaceDE/>
        <w:autoSpaceDN/>
        <w:adjustRightInd/>
        <w:spacing w:line="560" w:lineRule="exact"/>
        <w:ind w:firstLine="480" w:firstLineChars="150"/>
        <w:jc w:val="both"/>
        <w:textAlignment w:val="auto"/>
        <w:rPr>
          <w:rFonts w:ascii="仿宋_GB2312" w:eastAsia="仿宋_GB2312"/>
          <w:sz w:val="32"/>
          <w:szCs w:val="32"/>
        </w:rPr>
      </w:pPr>
      <w:r>
        <w:rPr>
          <w:rFonts w:hint="eastAsia" w:ascii="仿宋_GB2312" w:eastAsia="仿宋_GB2312"/>
          <w:sz w:val="32"/>
          <w:szCs w:val="32"/>
        </w:rPr>
        <w:t>因公出国（境）经费2023年预算0万元，同比(增加)减少0万元，（增长）下降0％。</w:t>
      </w:r>
    </w:p>
    <w:p>
      <w:pPr>
        <w:widowControl w:val="0"/>
        <w:numPr>
          <w:ilvl w:val="0"/>
          <w:numId w:val="3"/>
        </w:numPr>
        <w:kinsoku/>
        <w:autoSpaceDE/>
        <w:autoSpaceDN/>
        <w:adjustRightInd/>
        <w:spacing w:line="560" w:lineRule="exact"/>
        <w:ind w:firstLine="480" w:firstLineChars="150"/>
        <w:jc w:val="both"/>
        <w:textAlignment w:val="auto"/>
        <w:rPr>
          <w:rFonts w:ascii="仿宋_GB2312" w:eastAsia="仿宋_GB2312"/>
          <w:sz w:val="32"/>
          <w:szCs w:val="32"/>
        </w:rPr>
      </w:pPr>
      <w:r>
        <w:rPr>
          <w:rFonts w:hint="eastAsia" w:ascii="仿宋_GB2312" w:eastAsia="仿宋_GB2312"/>
          <w:sz w:val="32"/>
          <w:szCs w:val="32"/>
        </w:rPr>
        <w:t>公务接待费2023年预算0.80万元，同比减少0.20万元,下降20%。原因是根据单位实际情况统筹安排“三公”经费, 在“三公”经费合计数不变的情况下，减少公务接待费增加公务用车运行维护费。此项经费主要用于举办展览活动来宾接待费、学者专家来访调研接待费、对口单位业务、学术交流人员接待费等支出。</w:t>
      </w:r>
    </w:p>
    <w:p>
      <w:pPr>
        <w:kinsoku/>
        <w:autoSpaceDE/>
        <w:autoSpaceDN/>
        <w:adjustRightIn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（三）公务用车购置费2023年预算0万元，同比(增加)减少0万元，（增长）下降0％。</w:t>
      </w:r>
    </w:p>
    <w:p>
      <w:pPr>
        <w:kinsoku/>
        <w:autoSpaceDE/>
        <w:autoSpaceDN/>
        <w:adjustRightIn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（四）公务用车运行维护费2023年预算2.20万元，同比增加0.20万元,增长10%。原因是根据单位实际情况统筹安排“三公”经费, 在“三公”经费合计数不变的情况下，减少公务接待费增加公务用车运行维护费。此项经费主要用于公务车辆保险费、车辆出行的燃油费、过桥过路费、日常维修保养等支出。</w:t>
      </w:r>
    </w:p>
    <w:p>
      <w:pPr>
        <w:spacing w:before="1" w:line="219" w:lineRule="auto"/>
        <w:ind w:firstLine="704" w:firstLineChars="200"/>
        <w:rPr>
          <w:rFonts w:ascii="仿宋" w:hAnsi="仿宋" w:eastAsia="仿宋" w:cs="仿宋"/>
          <w:color w:val="333333"/>
          <w:spacing w:val="2"/>
          <w:sz w:val="31"/>
          <w:szCs w:val="31"/>
        </w:rPr>
      </w:pPr>
      <w:r>
        <w:rPr>
          <w:rFonts w:ascii="黑体" w:hAnsi="黑体" w:eastAsia="黑体" w:cs="黑体"/>
          <w:color w:val="333333"/>
          <w:spacing w:val="21"/>
          <w:sz w:val="31"/>
          <w:szCs w:val="31"/>
        </w:rPr>
        <w:t>四</w:t>
      </w:r>
      <w:r>
        <w:rPr>
          <w:rFonts w:ascii="黑体" w:hAnsi="黑体" w:eastAsia="黑体" w:cs="黑体"/>
          <w:color w:val="333333"/>
          <w:spacing w:val="11"/>
          <w:sz w:val="31"/>
          <w:szCs w:val="31"/>
        </w:rPr>
        <w:t>、</w:t>
      </w:r>
      <w:r>
        <w:rPr>
          <w:rFonts w:ascii="黑体" w:hAnsi="黑体" w:eastAsia="黑体" w:cs="黑体"/>
          <w:spacing w:val="11"/>
          <w:sz w:val="31"/>
          <w:szCs w:val="31"/>
        </w:rPr>
        <w:t xml:space="preserve">2023 年政府性基金预算支出预算情况 </w:t>
      </w:r>
    </w:p>
    <w:p>
      <w:pPr>
        <w:spacing w:before="1" w:line="219" w:lineRule="auto"/>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2023年本单位预算无政府性基金预算</w:t>
      </w:r>
      <w:r>
        <w:rPr>
          <w:rFonts w:hint="eastAsia" w:ascii="仿宋_GB2312" w:hAnsi="仿宋_GB2312" w:eastAsia="仿宋_GB2312" w:cs="仿宋_GB2312"/>
          <w:color w:val="333333"/>
          <w:spacing w:val="1"/>
          <w:sz w:val="32"/>
          <w:szCs w:val="32"/>
        </w:rPr>
        <w:t>。</w:t>
      </w:r>
    </w:p>
    <w:p>
      <w:pPr>
        <w:spacing w:before="223" w:line="226" w:lineRule="auto"/>
        <w:ind w:left="654"/>
        <w:rPr>
          <w:rFonts w:hint="eastAsia" w:ascii="仿宋" w:hAnsi="仿宋" w:cs="仿宋" w:eastAsiaTheme="minorEastAsia"/>
          <w:sz w:val="31"/>
          <w:szCs w:val="31"/>
        </w:rPr>
      </w:pPr>
      <w:r>
        <w:rPr>
          <w:rFonts w:ascii="黑体" w:hAnsi="黑体" w:eastAsia="黑体" w:cs="黑体"/>
          <w:color w:val="333333"/>
          <w:spacing w:val="18"/>
          <w:sz w:val="31"/>
          <w:szCs w:val="31"/>
        </w:rPr>
        <w:t>五、</w:t>
      </w:r>
      <w:r>
        <w:rPr>
          <w:rFonts w:ascii="黑体" w:hAnsi="黑体" w:eastAsia="黑体" w:cs="黑体"/>
          <w:color w:val="333333"/>
          <w:spacing w:val="10"/>
          <w:sz w:val="31"/>
          <w:szCs w:val="31"/>
        </w:rPr>
        <w:t>国</w:t>
      </w:r>
      <w:r>
        <w:rPr>
          <w:rFonts w:ascii="黑体" w:hAnsi="黑体" w:eastAsia="黑体" w:cs="黑体"/>
          <w:color w:val="333333"/>
          <w:spacing w:val="9"/>
          <w:sz w:val="31"/>
          <w:szCs w:val="31"/>
        </w:rPr>
        <w:t>有资本经营预算支出情况说明</w:t>
      </w:r>
    </w:p>
    <w:p>
      <w:pPr>
        <w:spacing w:before="1" w:line="219" w:lineRule="auto"/>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2023年本单位预算无国有资本经营预算。</w:t>
      </w:r>
    </w:p>
    <w:p>
      <w:pPr>
        <w:spacing w:before="102" w:line="227" w:lineRule="auto"/>
        <w:ind w:left="628"/>
        <w:rPr>
          <w:rFonts w:ascii="黑体" w:hAnsi="黑体" w:eastAsia="黑体" w:cs="黑体"/>
          <w:sz w:val="31"/>
          <w:szCs w:val="31"/>
        </w:rPr>
      </w:pPr>
      <w:r>
        <w:rPr>
          <w:rFonts w:ascii="黑体" w:hAnsi="黑体" w:eastAsia="黑体" w:cs="黑体"/>
          <w:spacing w:val="14"/>
          <w:sz w:val="31"/>
          <w:szCs w:val="31"/>
        </w:rPr>
        <w:t>第</w:t>
      </w:r>
      <w:r>
        <w:rPr>
          <w:rFonts w:ascii="黑体" w:hAnsi="黑体" w:eastAsia="黑体" w:cs="黑体"/>
          <w:spacing w:val="10"/>
          <w:sz w:val="31"/>
          <w:szCs w:val="31"/>
        </w:rPr>
        <w:t>三部分：其他重要事项情况说明</w:t>
      </w:r>
    </w:p>
    <w:p>
      <w:pPr>
        <w:spacing w:before="163" w:line="217" w:lineRule="auto"/>
        <w:ind w:left="637"/>
        <w:rPr>
          <w:rFonts w:ascii="微软雅黑" w:hAnsi="微软雅黑" w:eastAsia="微软雅黑" w:cs="微软雅黑"/>
          <w:sz w:val="31"/>
          <w:szCs w:val="31"/>
        </w:rPr>
      </w:pPr>
      <w:r>
        <w:rPr>
          <w:rFonts w:ascii="微软雅黑" w:hAnsi="微软雅黑" w:eastAsia="微软雅黑" w:cs="微软雅黑"/>
          <w:spacing w:val="16"/>
          <w:sz w:val="31"/>
          <w:szCs w:val="31"/>
        </w:rPr>
        <w:t>一</w:t>
      </w:r>
      <w:r>
        <w:rPr>
          <w:rFonts w:ascii="微软雅黑" w:hAnsi="微软雅黑" w:eastAsia="微软雅黑" w:cs="微软雅黑"/>
          <w:spacing w:val="9"/>
          <w:sz w:val="31"/>
          <w:szCs w:val="31"/>
        </w:rPr>
        <w:t>、</w:t>
      </w:r>
      <w:r>
        <w:rPr>
          <w:rFonts w:hint="eastAsia" w:ascii="微软雅黑" w:hAnsi="微软雅黑" w:eastAsia="微软雅黑" w:cs="微软雅黑"/>
          <w:spacing w:val="9"/>
          <w:sz w:val="31"/>
          <w:szCs w:val="31"/>
        </w:rPr>
        <w:t>事业单位相关</w:t>
      </w:r>
      <w:r>
        <w:rPr>
          <w:rFonts w:ascii="微软雅黑" w:hAnsi="微软雅黑" w:eastAsia="微软雅黑" w:cs="微软雅黑"/>
          <w:spacing w:val="9"/>
          <w:sz w:val="31"/>
          <w:szCs w:val="31"/>
        </w:rPr>
        <w:t>运行经费安排情况说明</w:t>
      </w:r>
    </w:p>
    <w:p>
      <w:pPr>
        <w:kinsoku/>
        <w:autoSpaceDE/>
        <w:autoSpaceDN/>
        <w:adjustRightInd/>
        <w:spacing w:line="560" w:lineRule="exact"/>
        <w:ind w:firstLine="640" w:firstLineChars="200"/>
        <w:textAlignment w:val="auto"/>
        <w:rPr>
          <w:rFonts w:ascii="仿宋_GB2312" w:eastAsia="仿宋_GB2312"/>
          <w:sz w:val="32"/>
          <w:szCs w:val="32"/>
        </w:rPr>
      </w:pPr>
      <w:r>
        <w:rPr>
          <w:rFonts w:ascii="仿宋_GB2312" w:eastAsia="仿宋_GB2312"/>
          <w:sz w:val="32"/>
          <w:szCs w:val="32"/>
        </w:rPr>
        <w:t>事业单位相关运行经费主要指的是</w:t>
      </w:r>
      <w:r>
        <w:rPr>
          <w:rFonts w:hint="eastAsia" w:ascii="仿宋_GB2312" w:eastAsia="仿宋_GB2312"/>
          <w:sz w:val="32"/>
          <w:szCs w:val="32"/>
        </w:rPr>
        <w:t>为</w:t>
      </w:r>
      <w:r>
        <w:rPr>
          <w:rFonts w:ascii="仿宋_GB2312" w:eastAsia="仿宋_GB2312"/>
          <w:sz w:val="32"/>
          <w:szCs w:val="32"/>
        </w:rPr>
        <w:t>保障事业单位</w:t>
      </w:r>
      <w:r>
        <w:rPr>
          <w:rFonts w:hint="eastAsia" w:ascii="仿宋_GB2312" w:eastAsia="仿宋_GB2312"/>
          <w:sz w:val="32"/>
          <w:szCs w:val="32"/>
        </w:rPr>
        <w:t>正常</w:t>
      </w:r>
      <w:r>
        <w:rPr>
          <w:rFonts w:ascii="仿宋_GB2312" w:eastAsia="仿宋_GB2312"/>
          <w:sz w:val="32"/>
          <w:szCs w:val="32"/>
        </w:rPr>
        <w:t>运行</w:t>
      </w:r>
      <w:r>
        <w:rPr>
          <w:rFonts w:hint="eastAsia" w:ascii="仿宋_GB2312" w:eastAsia="仿宋_GB2312"/>
          <w:sz w:val="32"/>
          <w:szCs w:val="32"/>
        </w:rPr>
        <w:t>而</w:t>
      </w:r>
      <w:r>
        <w:rPr>
          <w:rFonts w:ascii="仿宋_GB2312" w:eastAsia="仿宋_GB2312"/>
          <w:sz w:val="32"/>
          <w:szCs w:val="32"/>
        </w:rPr>
        <w:t>购买货物和服务的各项</w:t>
      </w:r>
      <w:r>
        <w:rPr>
          <w:rFonts w:hint="eastAsia" w:ascii="仿宋_GB2312" w:eastAsia="仿宋_GB2312"/>
          <w:sz w:val="32"/>
          <w:szCs w:val="32"/>
        </w:rPr>
        <w:t>资</w:t>
      </w:r>
      <w:r>
        <w:rPr>
          <w:rFonts w:ascii="仿宋_GB2312" w:eastAsia="仿宋_GB2312"/>
          <w:sz w:val="32"/>
          <w:szCs w:val="32"/>
        </w:rPr>
        <w:t>金，2023年，</w:t>
      </w:r>
      <w:r>
        <w:rPr>
          <w:rFonts w:hint="eastAsia" w:ascii="仿宋_GB2312" w:eastAsia="仿宋_GB2312"/>
          <w:sz w:val="32"/>
          <w:szCs w:val="32"/>
        </w:rPr>
        <w:t>贺州市博物馆</w:t>
      </w:r>
      <w:r>
        <w:rPr>
          <w:rFonts w:ascii="仿宋_GB2312" w:eastAsia="仿宋_GB2312"/>
          <w:sz w:val="32"/>
          <w:szCs w:val="32"/>
        </w:rPr>
        <w:t>的事业单位</w:t>
      </w:r>
      <w:r>
        <w:rPr>
          <w:rFonts w:hint="eastAsia" w:ascii="仿宋_GB2312" w:eastAsia="仿宋_GB2312"/>
          <w:sz w:val="32"/>
          <w:szCs w:val="32"/>
        </w:rPr>
        <w:t>相</w:t>
      </w:r>
      <w:r>
        <w:rPr>
          <w:rFonts w:ascii="仿宋_GB2312" w:eastAsia="仿宋_GB2312"/>
          <w:sz w:val="32"/>
          <w:szCs w:val="32"/>
        </w:rPr>
        <w:t>关运行经费</w:t>
      </w:r>
      <w:r>
        <w:rPr>
          <w:rFonts w:hint="eastAsia" w:ascii="仿宋_GB2312" w:eastAsia="仿宋_GB2312"/>
          <w:sz w:val="32"/>
          <w:szCs w:val="32"/>
        </w:rPr>
        <w:t>（基本支出-公用经经费）</w:t>
      </w:r>
      <w:r>
        <w:rPr>
          <w:rFonts w:ascii="仿宋_GB2312" w:eastAsia="仿宋_GB2312"/>
          <w:sz w:val="32"/>
          <w:szCs w:val="32"/>
        </w:rPr>
        <w:t>一般公共预算</w:t>
      </w:r>
      <w:r>
        <w:rPr>
          <w:rFonts w:hint="eastAsia" w:ascii="仿宋_GB2312" w:eastAsia="仿宋_GB2312"/>
          <w:sz w:val="32"/>
          <w:szCs w:val="32"/>
        </w:rPr>
        <w:t>15.46</w:t>
      </w:r>
      <w:r>
        <w:rPr>
          <w:rFonts w:ascii="仿宋_GB2312" w:eastAsia="仿宋_GB2312"/>
          <w:sz w:val="32"/>
          <w:szCs w:val="32"/>
        </w:rPr>
        <w:t>万元， 较2022年预算增加</w:t>
      </w:r>
      <w:r>
        <w:rPr>
          <w:rFonts w:hint="eastAsia" w:ascii="仿宋_GB2312" w:eastAsia="仿宋_GB2312"/>
          <w:sz w:val="32"/>
          <w:szCs w:val="32"/>
        </w:rPr>
        <w:t>1.96</w:t>
      </w:r>
      <w:r>
        <w:rPr>
          <w:rFonts w:ascii="仿宋_GB2312" w:eastAsia="仿宋_GB2312"/>
          <w:sz w:val="32"/>
          <w:szCs w:val="32"/>
        </w:rPr>
        <w:t>万元，增长</w:t>
      </w:r>
      <w:r>
        <w:rPr>
          <w:rFonts w:hint="eastAsia" w:ascii="仿宋_GB2312" w:eastAsia="仿宋_GB2312"/>
          <w:sz w:val="32"/>
          <w:szCs w:val="32"/>
        </w:rPr>
        <w:t>14.49</w:t>
      </w:r>
      <w:r>
        <w:rPr>
          <w:rFonts w:ascii="仿宋_GB2312" w:eastAsia="仿宋_GB2312"/>
          <w:sz w:val="32"/>
          <w:szCs w:val="32"/>
        </w:rPr>
        <w:t>%</w:t>
      </w:r>
      <w:r>
        <w:rPr>
          <w:rFonts w:hint="eastAsia" w:ascii="仿宋_GB2312" w:eastAsia="仿宋_GB2312"/>
          <w:sz w:val="32"/>
          <w:szCs w:val="32"/>
        </w:rPr>
        <w:t>。主要原因是在编人数增加2人,增加定额公务费1.89万元。相关运行经费具体安排情况如下：</w:t>
      </w:r>
    </w:p>
    <w:p>
      <w:pPr>
        <w:kinsoku/>
        <w:autoSpaceDE/>
        <w:autoSpaceDN/>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办公费</w:t>
      </w:r>
      <w:r>
        <w:rPr>
          <w:rFonts w:hint="eastAsia" w:ascii="仿宋_GB2312" w:eastAsia="仿宋_GB2312"/>
          <w:sz w:val="32"/>
          <w:szCs w:val="32"/>
        </w:rPr>
        <w:t>4.21万元,同比增加0.54万元,增长14.62%,主要原因是预计办公用品费用、报刊杂志征订费用增加。</w:t>
      </w:r>
    </w:p>
    <w:p>
      <w:pPr>
        <w:kinsoku/>
        <w:autoSpaceDE/>
        <w:autoSpaceDN/>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差旅费</w:t>
      </w:r>
      <w:r>
        <w:rPr>
          <w:rFonts w:hint="eastAsia" w:ascii="仿宋_GB2312" w:eastAsia="仿宋_GB2312"/>
          <w:sz w:val="32"/>
          <w:szCs w:val="32"/>
        </w:rPr>
        <w:t>1.50万元,同比减少0.50万元,下降25.00%,主要原因是预计日常出差任务减少。</w:t>
      </w:r>
    </w:p>
    <w:p>
      <w:pPr>
        <w:kinsoku/>
        <w:autoSpaceDE/>
        <w:autoSpaceDN/>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日常维修费</w:t>
      </w:r>
      <w:r>
        <w:rPr>
          <w:rFonts w:hint="eastAsia" w:ascii="仿宋_GB2312" w:eastAsia="仿宋_GB2312"/>
          <w:sz w:val="32"/>
          <w:szCs w:val="32"/>
        </w:rPr>
        <w:t>0.5万元，同比增加0.40万元,增长400%,主要原因是预计办公室电器维修费用增加。</w:t>
      </w:r>
    </w:p>
    <w:p>
      <w:pPr>
        <w:kinsoku/>
        <w:autoSpaceDE/>
        <w:autoSpaceDN/>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（三）培训费0.40万元，同比无增减。</w:t>
      </w:r>
    </w:p>
    <w:p>
      <w:pPr>
        <w:kinsoku/>
        <w:autoSpaceDE/>
        <w:autoSpaceDN/>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（四）公务接待费0.80万元，同比减少0.20万元,下降20%。原因是根据单位实际情况统筹安排“三公”经费, 在“三公”经费合计数不变的情况下，减少公务接待费增加公务用车运行维护费。</w:t>
      </w:r>
    </w:p>
    <w:p>
      <w:pPr>
        <w:kinsoku/>
        <w:autoSpaceDE/>
        <w:autoSpaceDN/>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福利费</w:t>
      </w:r>
      <w:r>
        <w:rPr>
          <w:rFonts w:hint="eastAsia" w:ascii="仿宋_GB2312" w:eastAsia="仿宋_GB2312"/>
          <w:sz w:val="32"/>
          <w:szCs w:val="32"/>
        </w:rPr>
        <w:t>0.39万元,同比增加0.06万元,增长18.18%,主要原因是在编人数增加2人。</w:t>
      </w:r>
    </w:p>
    <w:p>
      <w:pPr>
        <w:kinsoku/>
        <w:autoSpaceDE/>
        <w:autoSpaceDN/>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公务用车运行维护费</w:t>
      </w:r>
      <w:r>
        <w:rPr>
          <w:rFonts w:hint="eastAsia" w:ascii="仿宋_GB2312" w:eastAsia="仿宋_GB2312"/>
          <w:sz w:val="32"/>
          <w:szCs w:val="32"/>
        </w:rPr>
        <w:t>2.20万元，同比增加0.20万元,增长10%。原因是根据单位实际情况统筹安排“三公”经费, 在“三公”经费合计数不变的情况下，减少公务接待费增加公务用车运行维护费。</w:t>
      </w:r>
    </w:p>
    <w:p>
      <w:pPr>
        <w:kinsoku/>
        <w:autoSpaceDE/>
        <w:autoSpaceDN/>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（七）办公</w:t>
      </w:r>
      <w:r>
        <w:rPr>
          <w:rFonts w:ascii="仿宋_GB2312" w:eastAsia="仿宋_GB2312"/>
          <w:sz w:val="32"/>
          <w:szCs w:val="32"/>
        </w:rPr>
        <w:t>设备购置费</w:t>
      </w:r>
      <w:r>
        <w:rPr>
          <w:rFonts w:hint="eastAsia" w:ascii="仿宋_GB2312" w:eastAsia="仿宋_GB2312"/>
          <w:sz w:val="32"/>
          <w:szCs w:val="32"/>
        </w:rPr>
        <w:t>0.79万元, 同比减少0.41万元,下降34.17%。主要原因是预计购买办公电脑减少1台。</w:t>
      </w:r>
    </w:p>
    <w:p>
      <w:pPr>
        <w:kinsoku/>
        <w:autoSpaceDE/>
        <w:autoSpaceDN/>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其他</w:t>
      </w:r>
      <w:r>
        <w:rPr>
          <w:rFonts w:hint="eastAsia" w:ascii="仿宋_GB2312" w:eastAsia="仿宋_GB2312"/>
          <w:sz w:val="32"/>
          <w:szCs w:val="32"/>
        </w:rPr>
        <w:t>商品和服务支出</w:t>
      </w:r>
      <w:r>
        <w:rPr>
          <w:rFonts w:ascii="仿宋_GB2312" w:eastAsia="仿宋_GB2312"/>
          <w:sz w:val="32"/>
          <w:szCs w:val="32"/>
        </w:rPr>
        <w:t>费用</w:t>
      </w:r>
      <w:r>
        <w:rPr>
          <w:rFonts w:hint="eastAsia" w:ascii="仿宋_GB2312" w:eastAsia="仿宋_GB2312"/>
          <w:sz w:val="32"/>
          <w:szCs w:val="32"/>
        </w:rPr>
        <w:t>4.67万元, 同比增加1.87万元,增长66.75%。主要原因一是在编人数增加2人,伙食费补助增加0.40万元,二是预计广告宣传费等增加1.47万元</w:t>
      </w:r>
      <w:r>
        <w:rPr>
          <w:rFonts w:ascii="仿宋_GB2312" w:eastAsia="仿宋_GB2312"/>
          <w:sz w:val="32"/>
          <w:szCs w:val="32"/>
        </w:rPr>
        <w:t>。</w:t>
      </w:r>
    </w:p>
    <w:p>
      <w:pPr>
        <w:spacing w:before="1" w:line="186" w:lineRule="auto"/>
        <w:ind w:firstLine="672" w:firstLineChars="200"/>
        <w:rPr>
          <w:rFonts w:ascii="微软雅黑" w:hAnsi="微软雅黑" w:eastAsia="微软雅黑" w:cs="微软雅黑"/>
          <w:sz w:val="31"/>
          <w:szCs w:val="31"/>
        </w:rPr>
      </w:pPr>
      <w:r>
        <w:rPr>
          <w:rFonts w:ascii="微软雅黑" w:hAnsi="微软雅黑" w:eastAsia="微软雅黑" w:cs="微软雅黑"/>
          <w:spacing w:val="13"/>
          <w:sz w:val="31"/>
          <w:szCs w:val="31"/>
        </w:rPr>
        <w:t>二</w:t>
      </w:r>
      <w:r>
        <w:rPr>
          <w:rFonts w:ascii="微软雅黑" w:hAnsi="微软雅黑" w:eastAsia="微软雅黑" w:cs="微软雅黑"/>
          <w:spacing w:val="9"/>
          <w:sz w:val="31"/>
          <w:szCs w:val="31"/>
        </w:rPr>
        <w:t>、政府采购预算安排情况说明</w:t>
      </w:r>
    </w:p>
    <w:p>
      <w:pPr>
        <w:spacing w:before="97" w:line="342" w:lineRule="auto"/>
        <w:ind w:left="12" w:right="127" w:firstLine="645"/>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8"/>
          <w:sz w:val="32"/>
          <w:szCs w:val="32"/>
        </w:rPr>
        <w:t>2</w:t>
      </w:r>
      <w:r>
        <w:rPr>
          <w:rFonts w:hint="eastAsia" w:ascii="仿宋_GB2312" w:hAnsi="仿宋_GB2312" w:eastAsia="仿宋_GB2312" w:cs="仿宋_GB2312"/>
          <w:spacing w:val="4"/>
          <w:sz w:val="32"/>
          <w:szCs w:val="32"/>
        </w:rPr>
        <w:t>023年，政府采购预算总额</w:t>
      </w:r>
      <w:r>
        <w:rPr>
          <w:rFonts w:hint="eastAsia" w:ascii="仿宋_GB2312" w:hAnsi="仿宋_GB2312" w:eastAsia="仿宋_GB2312" w:cs="仿宋_GB2312"/>
          <w:spacing w:val="4"/>
          <w:sz w:val="32"/>
          <w:szCs w:val="32"/>
          <w:lang w:val="en-US" w:eastAsia="zh-CN"/>
        </w:rPr>
        <w:t>26</w:t>
      </w:r>
      <w:r>
        <w:rPr>
          <w:rFonts w:hint="eastAsia" w:ascii="仿宋_GB2312" w:hAnsi="仿宋_GB2312" w:eastAsia="仿宋_GB2312" w:cs="仿宋_GB2312"/>
          <w:spacing w:val="4"/>
          <w:sz w:val="32"/>
          <w:szCs w:val="32"/>
        </w:rPr>
        <w:t>万元，其中：政府集中采购</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4"/>
          <w:sz w:val="32"/>
          <w:szCs w:val="32"/>
        </w:rPr>
        <w:t>预算</w:t>
      </w:r>
      <w:r>
        <w:rPr>
          <w:rFonts w:hint="eastAsia" w:ascii="仿宋_GB2312" w:hAnsi="仿宋_GB2312" w:eastAsia="仿宋_GB2312" w:cs="仿宋_GB2312"/>
          <w:spacing w:val="-17"/>
          <w:sz w:val="32"/>
          <w:szCs w:val="32"/>
          <w:lang w:val="en-US" w:eastAsia="zh-CN"/>
        </w:rPr>
        <w:t>3.80</w:t>
      </w:r>
      <w:r>
        <w:rPr>
          <w:rFonts w:hint="eastAsia" w:ascii="仿宋_GB2312" w:hAnsi="仿宋_GB2312" w:eastAsia="仿宋_GB2312" w:cs="仿宋_GB2312"/>
          <w:spacing w:val="-12"/>
          <w:sz w:val="32"/>
          <w:szCs w:val="32"/>
        </w:rPr>
        <w:t xml:space="preserve">万元 (含货物类 </w:t>
      </w:r>
      <w:r>
        <w:rPr>
          <w:rFonts w:hint="eastAsia" w:ascii="仿宋_GB2312" w:hAnsi="仿宋_GB2312" w:eastAsia="仿宋_GB2312" w:cs="仿宋_GB2312"/>
          <w:spacing w:val="-12"/>
          <w:sz w:val="32"/>
          <w:szCs w:val="32"/>
          <w:lang w:val="en-US" w:eastAsia="zh-CN"/>
        </w:rPr>
        <w:t>2.97</w:t>
      </w:r>
      <w:r>
        <w:rPr>
          <w:rFonts w:hint="eastAsia" w:ascii="仿宋_GB2312" w:hAnsi="仿宋_GB2312" w:eastAsia="仿宋_GB2312" w:cs="仿宋_GB2312"/>
          <w:spacing w:val="-12"/>
          <w:sz w:val="32"/>
          <w:szCs w:val="32"/>
        </w:rPr>
        <w:t>万元，服务类</w:t>
      </w:r>
      <w:r>
        <w:rPr>
          <w:rFonts w:hint="eastAsia" w:ascii="仿宋_GB2312" w:hAnsi="仿宋_GB2312" w:eastAsia="仿宋_GB2312" w:cs="仿宋_GB2312"/>
          <w:spacing w:val="-12"/>
          <w:sz w:val="32"/>
          <w:szCs w:val="32"/>
          <w:lang w:val="en-US" w:eastAsia="zh-CN"/>
        </w:rPr>
        <w:t>0.83</w:t>
      </w:r>
      <w:r>
        <w:rPr>
          <w:rFonts w:hint="eastAsia" w:ascii="仿宋_GB2312" w:hAnsi="仿宋_GB2312" w:eastAsia="仿宋_GB2312" w:cs="仿宋_GB2312"/>
          <w:spacing w:val="-12"/>
          <w:sz w:val="32"/>
          <w:szCs w:val="32"/>
        </w:rPr>
        <w:t>万元 ) ，占政府采购预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算</w:t>
      </w:r>
      <w:r>
        <w:rPr>
          <w:rFonts w:hint="eastAsia" w:ascii="仿宋_GB2312" w:hAnsi="仿宋_GB2312" w:eastAsia="仿宋_GB2312" w:cs="仿宋_GB2312"/>
          <w:spacing w:val="-20"/>
          <w:sz w:val="32"/>
          <w:szCs w:val="32"/>
          <w:lang w:val="en-US" w:eastAsia="zh-CN"/>
        </w:rPr>
        <w:t>14.62</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10"/>
          <w:sz w:val="32"/>
          <w:szCs w:val="32"/>
        </w:rPr>
        <w:t>%；分散采购预算</w:t>
      </w:r>
      <w:r>
        <w:rPr>
          <w:rFonts w:hint="eastAsia" w:ascii="仿宋_GB2312" w:hAnsi="仿宋_GB2312" w:eastAsia="仿宋_GB2312" w:cs="仿宋_GB2312"/>
          <w:spacing w:val="-10"/>
          <w:sz w:val="32"/>
          <w:szCs w:val="32"/>
          <w:lang w:val="en-US" w:eastAsia="zh-CN"/>
        </w:rPr>
        <w:t>22.20</w:t>
      </w:r>
      <w:r>
        <w:rPr>
          <w:rFonts w:hint="eastAsia" w:ascii="仿宋_GB2312" w:hAnsi="仿宋_GB2312" w:eastAsia="仿宋_GB2312" w:cs="仿宋_GB2312"/>
          <w:spacing w:val="-10"/>
          <w:sz w:val="32"/>
          <w:szCs w:val="32"/>
        </w:rPr>
        <w:t>万元(含货物类</w:t>
      </w:r>
      <w:r>
        <w:rPr>
          <w:rFonts w:hint="eastAsia" w:ascii="仿宋_GB2312" w:hAnsi="仿宋_GB2312" w:eastAsia="仿宋_GB2312" w:cs="仿宋_GB2312"/>
          <w:spacing w:val="-10"/>
          <w:sz w:val="32"/>
          <w:szCs w:val="32"/>
          <w:lang w:val="en-US" w:eastAsia="zh-CN"/>
        </w:rPr>
        <w:t>22.20</w:t>
      </w:r>
      <w:r>
        <w:rPr>
          <w:rFonts w:hint="eastAsia" w:ascii="仿宋_GB2312" w:hAnsi="仿宋_GB2312" w:eastAsia="仿宋_GB2312" w:cs="仿宋_GB2312"/>
          <w:spacing w:val="-10"/>
          <w:sz w:val="32"/>
          <w:szCs w:val="32"/>
        </w:rPr>
        <w:t>万元，工程类</w:t>
      </w:r>
      <w:r>
        <w:rPr>
          <w:rFonts w:hint="eastAsia" w:ascii="仿宋_GB2312" w:hAnsi="仿宋_GB2312" w:eastAsia="仿宋_GB2312" w:cs="仿宋_GB2312"/>
          <w:spacing w:val="-10"/>
          <w:sz w:val="32"/>
          <w:szCs w:val="32"/>
          <w:lang w:val="en-US" w:eastAsia="zh-CN"/>
        </w:rPr>
        <w:t>0</w:t>
      </w:r>
      <w:r>
        <w:rPr>
          <w:rFonts w:hint="eastAsia" w:ascii="仿宋_GB2312" w:hAnsi="仿宋_GB2312" w:eastAsia="仿宋_GB2312" w:cs="仿宋_GB2312"/>
          <w:spacing w:val="-10"/>
          <w:sz w:val="32"/>
          <w:szCs w:val="32"/>
        </w:rPr>
        <w:t>万元，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服务类</w:t>
      </w:r>
      <w:r>
        <w:rPr>
          <w:rFonts w:hint="eastAsia" w:ascii="仿宋_GB2312" w:hAnsi="仿宋_GB2312" w:eastAsia="仿宋_GB2312" w:cs="仿宋_GB2312"/>
          <w:spacing w:val="-9"/>
          <w:sz w:val="32"/>
          <w:szCs w:val="32"/>
          <w:lang w:val="en-US" w:eastAsia="zh-CN"/>
        </w:rPr>
        <w:t>0</w:t>
      </w:r>
      <w:r>
        <w:rPr>
          <w:rFonts w:hint="eastAsia" w:ascii="仿宋_GB2312" w:hAnsi="仿宋_GB2312" w:eastAsia="仿宋_GB2312" w:cs="仿宋_GB2312"/>
          <w:spacing w:val="-9"/>
          <w:sz w:val="32"/>
          <w:szCs w:val="32"/>
        </w:rPr>
        <w:t xml:space="preserve">万元) ， 占政府采购预算 </w:t>
      </w:r>
      <w:r>
        <w:rPr>
          <w:rFonts w:hint="eastAsia" w:ascii="仿宋_GB2312" w:hAnsi="仿宋_GB2312" w:eastAsia="仿宋_GB2312" w:cs="仿宋_GB2312"/>
          <w:spacing w:val="-3"/>
          <w:sz w:val="32"/>
          <w:szCs w:val="32"/>
          <w:lang w:val="en-US" w:eastAsia="zh-CN"/>
        </w:rPr>
        <w:t>85.38</w:t>
      </w:r>
      <w:r>
        <w:rPr>
          <w:rFonts w:hint="eastAsia" w:ascii="仿宋_GB2312" w:hAnsi="仿宋_GB2312" w:eastAsia="仿宋_GB2312" w:cs="仿宋_GB2312"/>
          <w:spacing w:val="-9"/>
          <w:sz w:val="32"/>
          <w:szCs w:val="32"/>
        </w:rPr>
        <w:t xml:space="preserve"> %。</w:t>
      </w:r>
    </w:p>
    <w:p>
      <w:pPr>
        <w:spacing w:before="1" w:line="186" w:lineRule="auto"/>
        <w:ind w:firstLine="656" w:firstLineChars="200"/>
        <w:rPr>
          <w:rFonts w:ascii="微软雅黑" w:hAnsi="微软雅黑" w:eastAsia="微软雅黑" w:cs="微软雅黑"/>
          <w:spacing w:val="9"/>
          <w:sz w:val="31"/>
          <w:szCs w:val="31"/>
        </w:rPr>
      </w:pPr>
      <w:r>
        <w:rPr>
          <w:rFonts w:ascii="微软雅黑" w:hAnsi="微软雅黑" w:eastAsia="微软雅黑" w:cs="微软雅黑"/>
          <w:spacing w:val="9"/>
          <w:sz w:val="31"/>
          <w:szCs w:val="31"/>
        </w:rPr>
        <w:t>三、国有资产占用情况说明</w:t>
      </w:r>
    </w:p>
    <w:p>
      <w:pPr>
        <w:tabs>
          <w:tab w:val="center" w:pos="4475"/>
        </w:tabs>
        <w:kinsoku/>
        <w:autoSpaceDE/>
        <w:autoSpaceDN/>
        <w:adjustRightInd/>
        <w:spacing w:line="560" w:lineRule="exact"/>
        <w:ind w:firstLine="645"/>
        <w:textAlignment w:val="auto"/>
        <w:rPr>
          <w:rFonts w:ascii="方正小标宋简体" w:eastAsia="方正小标宋简体"/>
          <w:sz w:val="32"/>
          <w:szCs w:val="32"/>
        </w:rPr>
      </w:pPr>
      <w:r>
        <w:rPr>
          <w:rFonts w:hint="eastAsia" w:ascii="仿宋_GB2312" w:eastAsia="仿宋_GB2312"/>
          <w:sz w:val="32"/>
          <w:szCs w:val="32"/>
        </w:rPr>
        <w:t>目前，贺州市博物馆办公用房面积</w:t>
      </w:r>
      <w:r>
        <w:rPr>
          <w:rFonts w:ascii="仿宋_GB2312" w:eastAsia="仿宋_GB2312"/>
          <w:sz w:val="32"/>
          <w:szCs w:val="32"/>
        </w:rPr>
        <w:t>631.12</w:t>
      </w:r>
      <w:r>
        <w:rPr>
          <w:rFonts w:hint="eastAsia" w:ascii="仿宋_GB2312" w:eastAsia="仿宋_GB2312"/>
          <w:sz w:val="32"/>
          <w:szCs w:val="32"/>
        </w:rPr>
        <w:t>平方米；共有机动车1辆，</w:t>
      </w:r>
      <w:r>
        <w:rPr>
          <w:rFonts w:hint="eastAsia" w:ascii="仿宋_GB2312" w:eastAsia="仿宋_GB2312"/>
          <w:color w:val="auto"/>
          <w:sz w:val="32"/>
          <w:szCs w:val="32"/>
        </w:rPr>
        <w:t>价值19.66万元</w:t>
      </w:r>
      <w:r>
        <w:rPr>
          <w:rFonts w:hint="eastAsia" w:ascii="仿宋_GB2312" w:eastAsia="仿宋_GB2312"/>
          <w:sz w:val="32"/>
          <w:szCs w:val="32"/>
        </w:rPr>
        <w:t>，其中，领导干部用车0辆，一般公务用车1辆，一般执法执勤用车0辆，特种专业技术用车0辆，其他用车0辆；单位价值20万元至200万元大型设备5套，单位价值200万元以上大型设备0台。2023年，预算安排新建办公用房0平方米，新建预算0万元；预算安排购置大型设备0台，购置预算0万元；预算安排购置机动车0辆，购置预算0万元。</w:t>
      </w:r>
    </w:p>
    <w:p>
      <w:pPr>
        <w:spacing w:before="2" w:line="185" w:lineRule="auto"/>
        <w:ind w:left="656"/>
        <w:rPr>
          <w:rFonts w:ascii="微软雅黑" w:hAnsi="微软雅黑" w:eastAsia="微软雅黑" w:cs="微软雅黑"/>
          <w:sz w:val="31"/>
          <w:szCs w:val="31"/>
        </w:rPr>
      </w:pPr>
      <w:r>
        <w:rPr>
          <w:rFonts w:ascii="微软雅黑" w:hAnsi="微软雅黑" w:eastAsia="微软雅黑" w:cs="微软雅黑"/>
          <w:spacing w:val="15"/>
          <w:sz w:val="31"/>
          <w:szCs w:val="31"/>
        </w:rPr>
        <w:t>四</w:t>
      </w:r>
      <w:r>
        <w:rPr>
          <w:rFonts w:ascii="微软雅黑" w:hAnsi="微软雅黑" w:eastAsia="微软雅黑" w:cs="微软雅黑"/>
          <w:spacing w:val="8"/>
          <w:sz w:val="31"/>
          <w:szCs w:val="31"/>
        </w:rPr>
        <w:t>、重点项目预算绩效目标等情况说明</w:t>
      </w:r>
    </w:p>
    <w:p>
      <w:pPr>
        <w:spacing w:before="154" w:line="335" w:lineRule="auto"/>
        <w:ind w:right="70" w:firstLine="658"/>
        <w:rPr>
          <w:rFonts w:ascii="仿宋_GB2312" w:eastAsia="仿宋_GB2312"/>
          <w:sz w:val="32"/>
          <w:szCs w:val="32"/>
        </w:rPr>
      </w:pPr>
      <w:r>
        <w:rPr>
          <w:rFonts w:ascii="仿宋_GB2312" w:eastAsia="仿宋_GB2312"/>
          <w:sz w:val="32"/>
          <w:szCs w:val="32"/>
        </w:rPr>
        <w:t>2023年，</w:t>
      </w:r>
      <w:r>
        <w:rPr>
          <w:rFonts w:hint="eastAsia" w:ascii="仿宋_GB2312" w:eastAsia="仿宋_GB2312"/>
          <w:sz w:val="32"/>
          <w:szCs w:val="32"/>
        </w:rPr>
        <w:t>贺州市博物馆</w:t>
      </w:r>
      <w:r>
        <w:rPr>
          <w:rFonts w:ascii="仿宋_GB2312" w:eastAsia="仿宋_GB2312"/>
          <w:sz w:val="32"/>
          <w:szCs w:val="32"/>
        </w:rPr>
        <w:t>实行绩效目标管理的项目</w:t>
      </w:r>
      <w:r>
        <w:rPr>
          <w:rFonts w:hint="eastAsia" w:ascii="仿宋_GB2312" w:eastAsia="仿宋_GB2312"/>
          <w:sz w:val="32"/>
          <w:szCs w:val="32"/>
        </w:rPr>
        <w:t>7</w:t>
      </w:r>
      <w:r>
        <w:rPr>
          <w:rFonts w:ascii="仿宋_GB2312" w:eastAsia="仿宋_GB2312"/>
          <w:sz w:val="32"/>
          <w:szCs w:val="32"/>
        </w:rPr>
        <w:t>个，涉及 公共财政预算拨款</w:t>
      </w:r>
      <w:r>
        <w:rPr>
          <w:rFonts w:hint="eastAsia" w:ascii="仿宋_GB2312" w:eastAsia="仿宋_GB2312"/>
          <w:sz w:val="32"/>
          <w:szCs w:val="32"/>
        </w:rPr>
        <w:t>31</w:t>
      </w:r>
      <w:r>
        <w:rPr>
          <w:rFonts w:ascii="仿宋_GB2312" w:eastAsia="仿宋_GB2312"/>
          <w:sz w:val="32"/>
          <w:szCs w:val="32"/>
        </w:rPr>
        <w:t>万元；纳入部门预算绩效评价试点的项目</w:t>
      </w:r>
      <w:r>
        <w:rPr>
          <w:rFonts w:hint="eastAsia" w:ascii="仿宋_GB2312" w:eastAsia="仿宋_GB2312"/>
          <w:sz w:val="32"/>
          <w:szCs w:val="32"/>
        </w:rPr>
        <w:t>0</w:t>
      </w:r>
      <w:r>
        <w:rPr>
          <w:rFonts w:ascii="仿宋_GB2312" w:eastAsia="仿宋_GB2312"/>
          <w:sz w:val="32"/>
          <w:szCs w:val="32"/>
        </w:rPr>
        <w:t>个，涉及公共财政预算拨</w:t>
      </w:r>
      <w:r>
        <w:rPr>
          <w:rFonts w:hint="eastAsia" w:ascii="仿宋_GB2312" w:eastAsia="仿宋_GB2312"/>
          <w:sz w:val="32"/>
          <w:szCs w:val="32"/>
        </w:rPr>
        <w:t>0</w:t>
      </w:r>
      <w:r>
        <w:rPr>
          <w:rFonts w:ascii="仿宋_GB2312" w:eastAsia="仿宋_GB2312"/>
          <w:sz w:val="32"/>
          <w:szCs w:val="32"/>
        </w:rPr>
        <w:t>万元。</w:t>
      </w:r>
    </w:p>
    <w:p>
      <w:pPr>
        <w:tabs>
          <w:tab w:val="center" w:pos="4475"/>
        </w:tabs>
        <w:kinsoku/>
        <w:autoSpaceDE/>
        <w:autoSpaceDN/>
        <w:adjustRightInd/>
        <w:spacing w:line="560" w:lineRule="exact"/>
        <w:ind w:firstLine="645"/>
        <w:textAlignment w:val="auto"/>
        <w:rPr>
          <w:rFonts w:ascii="仿宋_GB2312" w:eastAsia="仿宋_GB2312"/>
          <w:sz w:val="32"/>
          <w:szCs w:val="32"/>
        </w:rPr>
      </w:pPr>
      <w:r>
        <w:rPr>
          <w:rFonts w:hint="eastAsia" w:ascii="仿宋_GB2312" w:eastAsia="仿宋_GB2312"/>
          <w:sz w:val="32"/>
          <w:szCs w:val="32"/>
        </w:rPr>
        <w:t>其中</w:t>
      </w:r>
      <w:r>
        <w:rPr>
          <w:rFonts w:hint="eastAsia" w:ascii="仿宋_GB2312" w:hAnsi="宋体" w:eastAsia="仿宋_GB2312" w:cs="宋体"/>
          <w:sz w:val="32"/>
          <w:szCs w:val="32"/>
        </w:rPr>
        <w:t>文物征集经费项目23万元</w:t>
      </w:r>
      <w:r>
        <w:rPr>
          <w:rFonts w:hint="eastAsia" w:ascii="仿宋_GB2312" w:eastAsia="仿宋_GB2312"/>
          <w:sz w:val="32"/>
          <w:szCs w:val="32"/>
        </w:rPr>
        <w:t>，该项目的绩效目标如下：</w:t>
      </w:r>
    </w:p>
    <w:tbl>
      <w:tblPr>
        <w:tblStyle w:val="7"/>
        <w:tblW w:w="9120" w:type="dxa"/>
        <w:tblInd w:w="0" w:type="dxa"/>
        <w:shd w:val="clear" w:color="auto" w:fill="auto"/>
        <w:tblLayout w:type="fixed"/>
        <w:tblCellMar>
          <w:top w:w="0" w:type="dxa"/>
          <w:left w:w="0" w:type="dxa"/>
          <w:bottom w:w="0" w:type="dxa"/>
          <w:right w:w="0" w:type="dxa"/>
        </w:tblCellMar>
      </w:tblPr>
      <w:tblGrid>
        <w:gridCol w:w="1391"/>
        <w:gridCol w:w="1330"/>
        <w:gridCol w:w="1475"/>
        <w:gridCol w:w="1330"/>
        <w:gridCol w:w="1180"/>
        <w:gridCol w:w="2414"/>
      </w:tblGrid>
      <w:tr>
        <w:tblPrEx>
          <w:shd w:val="clear" w:color="auto" w:fill="auto"/>
          <w:tblLayout w:type="fixed"/>
          <w:tblCellMar>
            <w:top w:w="0" w:type="dxa"/>
            <w:left w:w="0" w:type="dxa"/>
            <w:bottom w:w="0" w:type="dxa"/>
            <w:right w:w="0" w:type="dxa"/>
          </w:tblCellMar>
        </w:tblPrEx>
        <w:trPr>
          <w:trHeight w:val="360" w:hRule="atLeast"/>
        </w:trPr>
        <w:tc>
          <w:tcPr>
            <w:tcW w:w="9120" w:type="dxa"/>
            <w:gridSpan w:val="6"/>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snapToGrid w:val="0"/>
                <w:color w:val="000000"/>
                <w:kern w:val="0"/>
                <w:sz w:val="32"/>
                <w:szCs w:val="32"/>
                <w:u w:val="none"/>
                <w:lang w:val="en-US" w:eastAsia="zh-CN" w:bidi="ar"/>
              </w:rPr>
              <w:t>2023年度部门预算贺州市本级项目支出绩效目标申报表</w:t>
            </w:r>
          </w:p>
        </w:tc>
      </w:tr>
      <w:tr>
        <w:tblPrEx>
          <w:tblLayout w:type="fixed"/>
          <w:tblCellMar>
            <w:top w:w="0" w:type="dxa"/>
            <w:left w:w="0" w:type="dxa"/>
            <w:bottom w:w="0" w:type="dxa"/>
            <w:right w:w="0" w:type="dxa"/>
          </w:tblCellMar>
        </w:tblPrEx>
        <w:trPr>
          <w:trHeight w:val="360" w:hRule="atLeast"/>
        </w:trPr>
        <w:tc>
          <w:tcPr>
            <w:tcW w:w="9120" w:type="dxa"/>
            <w:gridSpan w:val="6"/>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Layout w:type="fixed"/>
          <w:tblCellMar>
            <w:top w:w="0" w:type="dxa"/>
            <w:left w:w="0" w:type="dxa"/>
            <w:bottom w:w="0" w:type="dxa"/>
            <w:right w:w="0" w:type="dxa"/>
          </w:tblCellMar>
        </w:tblPrEx>
        <w:trPr>
          <w:trHeight w:val="379" w:hRule="atLeast"/>
        </w:trPr>
        <w:tc>
          <w:tcPr>
            <w:tcW w:w="139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项目名称</w:t>
            </w:r>
          </w:p>
        </w:tc>
        <w:tc>
          <w:tcPr>
            <w:tcW w:w="2805"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文物征集经费</w:t>
            </w:r>
          </w:p>
        </w:tc>
        <w:tc>
          <w:tcPr>
            <w:tcW w:w="251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项目编码</w:t>
            </w:r>
          </w:p>
        </w:tc>
        <w:tc>
          <w:tcPr>
            <w:tcW w:w="241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451100213020400005313</w:t>
            </w:r>
          </w:p>
        </w:tc>
      </w:tr>
      <w:tr>
        <w:tblPrEx>
          <w:tblLayout w:type="fixed"/>
          <w:tblCellMar>
            <w:top w:w="0" w:type="dxa"/>
            <w:left w:w="0" w:type="dxa"/>
            <w:bottom w:w="0" w:type="dxa"/>
            <w:right w:w="0" w:type="dxa"/>
          </w:tblCellMar>
        </w:tblPrEx>
        <w:trPr>
          <w:trHeight w:val="379" w:hRule="atLeast"/>
        </w:trPr>
        <w:tc>
          <w:tcPr>
            <w:tcW w:w="139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项目实施单位</w:t>
            </w:r>
          </w:p>
        </w:tc>
        <w:tc>
          <w:tcPr>
            <w:tcW w:w="2805"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贺州市博物馆</w:t>
            </w:r>
          </w:p>
        </w:tc>
        <w:tc>
          <w:tcPr>
            <w:tcW w:w="251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项目主管单位</w:t>
            </w:r>
          </w:p>
        </w:tc>
        <w:tc>
          <w:tcPr>
            <w:tcW w:w="241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204-贺州市文化和旅游局</w:t>
            </w:r>
          </w:p>
        </w:tc>
      </w:tr>
      <w:tr>
        <w:tblPrEx>
          <w:tblLayout w:type="fixed"/>
          <w:tblCellMar>
            <w:top w:w="0" w:type="dxa"/>
            <w:left w:w="0" w:type="dxa"/>
            <w:bottom w:w="0" w:type="dxa"/>
            <w:right w:w="0" w:type="dxa"/>
          </w:tblCellMar>
        </w:tblPrEx>
        <w:trPr>
          <w:trHeight w:val="379" w:hRule="atLeast"/>
        </w:trPr>
        <w:tc>
          <w:tcPr>
            <w:tcW w:w="139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项目属性</w:t>
            </w:r>
          </w:p>
        </w:tc>
        <w:tc>
          <w:tcPr>
            <w:tcW w:w="77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79" w:hRule="atLeast"/>
        </w:trPr>
        <w:tc>
          <w:tcPr>
            <w:tcW w:w="1391"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资金总额</w:t>
            </w:r>
          </w:p>
        </w:tc>
        <w:tc>
          <w:tcPr>
            <w:tcW w:w="2805"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资金来源</w:t>
            </w:r>
          </w:p>
        </w:tc>
        <w:tc>
          <w:tcPr>
            <w:tcW w:w="4924"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金额(元)</w:t>
            </w:r>
          </w:p>
        </w:tc>
      </w:tr>
      <w:tr>
        <w:tblPrEx>
          <w:tblLayout w:type="fixed"/>
          <w:tblCellMar>
            <w:top w:w="0" w:type="dxa"/>
            <w:left w:w="0" w:type="dxa"/>
            <w:bottom w:w="0" w:type="dxa"/>
            <w:right w:w="0" w:type="dxa"/>
          </w:tblCellMar>
        </w:tblPrEx>
        <w:trPr>
          <w:trHeight w:val="379" w:hRule="atLeast"/>
        </w:trPr>
        <w:tc>
          <w:tcPr>
            <w:tcW w:w="1391"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5"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合计</w:t>
            </w:r>
          </w:p>
        </w:tc>
        <w:tc>
          <w:tcPr>
            <w:tcW w:w="13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w:t>
            </w:r>
          </w:p>
        </w:tc>
        <w:tc>
          <w:tcPr>
            <w:tcW w:w="3594"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9" w:hRule="atLeast"/>
        </w:trPr>
        <w:tc>
          <w:tcPr>
            <w:tcW w:w="1391"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5"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其中：一般公共预算拨款</w:t>
            </w:r>
          </w:p>
        </w:tc>
        <w:tc>
          <w:tcPr>
            <w:tcW w:w="13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其中：上级</w:t>
            </w:r>
          </w:p>
        </w:tc>
        <w:tc>
          <w:tcPr>
            <w:tcW w:w="3594"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79" w:hRule="atLeast"/>
        </w:trPr>
        <w:tc>
          <w:tcPr>
            <w:tcW w:w="1391"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5" w:type="dxa"/>
            <w:gridSpan w:val="2"/>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本级</w:t>
            </w:r>
          </w:p>
        </w:tc>
        <w:tc>
          <w:tcPr>
            <w:tcW w:w="3594"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230000</w:t>
            </w:r>
          </w:p>
        </w:tc>
      </w:tr>
      <w:tr>
        <w:tblPrEx>
          <w:tblLayout w:type="fixed"/>
          <w:tblCellMar>
            <w:top w:w="0" w:type="dxa"/>
            <w:left w:w="0" w:type="dxa"/>
            <w:bottom w:w="0" w:type="dxa"/>
            <w:right w:w="0" w:type="dxa"/>
          </w:tblCellMar>
        </w:tblPrEx>
        <w:trPr>
          <w:trHeight w:val="379" w:hRule="atLeast"/>
        </w:trPr>
        <w:tc>
          <w:tcPr>
            <w:tcW w:w="1391"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5"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政府性基金</w:t>
            </w:r>
          </w:p>
        </w:tc>
        <w:tc>
          <w:tcPr>
            <w:tcW w:w="13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w:t>
            </w:r>
          </w:p>
        </w:tc>
        <w:tc>
          <w:tcPr>
            <w:tcW w:w="3594"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79" w:hRule="atLeast"/>
        </w:trPr>
        <w:tc>
          <w:tcPr>
            <w:tcW w:w="1391"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5"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xml:space="preserve">         其他资金</w:t>
            </w:r>
          </w:p>
        </w:tc>
        <w:tc>
          <w:tcPr>
            <w:tcW w:w="13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　</w:t>
            </w:r>
          </w:p>
        </w:tc>
        <w:tc>
          <w:tcPr>
            <w:tcW w:w="3594"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1770" w:hRule="atLeast"/>
        </w:trPr>
        <w:tc>
          <w:tcPr>
            <w:tcW w:w="139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项目概况(包括项目立项依据、可行性和必要性、支持范围、实施内容等)</w:t>
            </w:r>
          </w:p>
        </w:tc>
        <w:tc>
          <w:tcPr>
            <w:tcW w:w="77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文物征集工作是博物馆重要职能。继续做好反映贺州历史文化、红色文化、民族民俗文化和地域特色文化的藏品收集购买工作，丰富馆藏，加强文物保护。</w:t>
            </w:r>
          </w:p>
        </w:tc>
      </w:tr>
      <w:tr>
        <w:tblPrEx>
          <w:tblLayout w:type="fixed"/>
          <w:tblCellMar>
            <w:top w:w="0" w:type="dxa"/>
            <w:left w:w="0" w:type="dxa"/>
            <w:bottom w:w="0" w:type="dxa"/>
            <w:right w:w="0" w:type="dxa"/>
          </w:tblCellMar>
        </w:tblPrEx>
        <w:trPr>
          <w:trHeight w:val="379" w:hRule="atLeast"/>
        </w:trPr>
        <w:tc>
          <w:tcPr>
            <w:tcW w:w="139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项目起始时间</w:t>
            </w:r>
          </w:p>
        </w:tc>
        <w:tc>
          <w:tcPr>
            <w:tcW w:w="2805"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2023年1月1日</w:t>
            </w:r>
          </w:p>
        </w:tc>
        <w:tc>
          <w:tcPr>
            <w:tcW w:w="251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项目终止时间</w:t>
            </w:r>
          </w:p>
        </w:tc>
        <w:tc>
          <w:tcPr>
            <w:tcW w:w="241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2023年12月31日</w:t>
            </w:r>
          </w:p>
        </w:tc>
      </w:tr>
      <w:tr>
        <w:tblPrEx>
          <w:tblLayout w:type="fixed"/>
          <w:tblCellMar>
            <w:top w:w="0" w:type="dxa"/>
            <w:left w:w="0" w:type="dxa"/>
            <w:bottom w:w="0" w:type="dxa"/>
            <w:right w:w="0" w:type="dxa"/>
          </w:tblCellMar>
        </w:tblPrEx>
        <w:trPr>
          <w:trHeight w:val="900" w:hRule="atLeast"/>
        </w:trPr>
        <w:tc>
          <w:tcPr>
            <w:tcW w:w="139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项目实施进度安排</w:t>
            </w:r>
          </w:p>
        </w:tc>
        <w:tc>
          <w:tcPr>
            <w:tcW w:w="77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2023年1-6月完成60%项目进度，2023年7-12月完成100%项目进度。</w:t>
            </w:r>
          </w:p>
        </w:tc>
      </w:tr>
      <w:tr>
        <w:tblPrEx>
          <w:tblLayout w:type="fixed"/>
          <w:tblCellMar>
            <w:top w:w="0" w:type="dxa"/>
            <w:left w:w="0" w:type="dxa"/>
            <w:bottom w:w="0" w:type="dxa"/>
            <w:right w:w="0" w:type="dxa"/>
          </w:tblCellMar>
        </w:tblPrEx>
        <w:trPr>
          <w:trHeight w:val="900" w:hRule="atLeast"/>
        </w:trPr>
        <w:tc>
          <w:tcPr>
            <w:tcW w:w="139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年度绩效目标</w:t>
            </w:r>
          </w:p>
        </w:tc>
        <w:tc>
          <w:tcPr>
            <w:tcW w:w="77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继续做好反映贺州历史文化、红色文化、民族民俗文化和地域特色文化的藏品收集购买工作，丰富馆藏，加强文物保护。</w:t>
            </w:r>
          </w:p>
        </w:tc>
      </w:tr>
      <w:tr>
        <w:tblPrEx>
          <w:tblLayout w:type="fixed"/>
          <w:tblCellMar>
            <w:top w:w="0" w:type="dxa"/>
            <w:left w:w="0" w:type="dxa"/>
            <w:bottom w:w="0" w:type="dxa"/>
            <w:right w:w="0" w:type="dxa"/>
          </w:tblCellMar>
        </w:tblPrEx>
        <w:trPr>
          <w:trHeight w:val="900" w:hRule="atLeast"/>
        </w:trPr>
        <w:tc>
          <w:tcPr>
            <w:tcW w:w="1391"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中期绩效目标</w:t>
            </w:r>
          </w:p>
        </w:tc>
        <w:tc>
          <w:tcPr>
            <w:tcW w:w="77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继续做好反映贺州历史文化、红色文化、民族民俗文化和地域特色文化的藏品收集购买工作，丰富馆藏，加强文物保护。为新馆落成展览积累藏品。</w:t>
            </w:r>
          </w:p>
        </w:tc>
      </w:tr>
      <w:tr>
        <w:tblPrEx>
          <w:tblLayout w:type="fixed"/>
          <w:tblCellMar>
            <w:top w:w="0" w:type="dxa"/>
            <w:left w:w="0" w:type="dxa"/>
            <w:bottom w:w="0" w:type="dxa"/>
            <w:right w:w="0" w:type="dxa"/>
          </w:tblCellMar>
        </w:tblPrEx>
        <w:trPr>
          <w:trHeight w:val="379" w:hRule="atLeast"/>
        </w:trPr>
        <w:tc>
          <w:tcPr>
            <w:tcW w:w="1391"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项目</w:t>
            </w:r>
            <w:r>
              <w:rPr>
                <w:rStyle w:val="11"/>
                <w:snapToGrid w:val="0"/>
                <w:lang w:val="en-US" w:eastAsia="zh-CN" w:bidi="ar"/>
              </w:rPr>
              <w:t>年度</w:t>
            </w:r>
            <w:r>
              <w:rPr>
                <w:rStyle w:val="12"/>
                <w:snapToGrid w:val="0"/>
                <w:lang w:val="en-US" w:eastAsia="zh-CN" w:bidi="ar"/>
              </w:rPr>
              <w:t>绩效目标衡量指标</w:t>
            </w:r>
          </w:p>
        </w:tc>
        <w:tc>
          <w:tcPr>
            <w:tcW w:w="13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一级指标</w:t>
            </w:r>
          </w:p>
        </w:tc>
        <w:tc>
          <w:tcPr>
            <w:tcW w:w="14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二级指标</w:t>
            </w:r>
          </w:p>
        </w:tc>
        <w:tc>
          <w:tcPr>
            <w:tcW w:w="251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指标内容</w:t>
            </w:r>
          </w:p>
        </w:tc>
        <w:tc>
          <w:tcPr>
            <w:tcW w:w="241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snapToGrid w:val="0"/>
                <w:color w:val="000000"/>
                <w:kern w:val="0"/>
                <w:sz w:val="22"/>
                <w:szCs w:val="22"/>
                <w:u w:val="none"/>
                <w:lang w:val="en-US" w:eastAsia="zh-CN" w:bidi="ar"/>
              </w:rPr>
              <w:t>指标值</w:t>
            </w:r>
          </w:p>
        </w:tc>
      </w:tr>
      <w:tr>
        <w:tblPrEx>
          <w:tblLayout w:type="fixed"/>
          <w:tblCellMar>
            <w:top w:w="0" w:type="dxa"/>
            <w:left w:w="0" w:type="dxa"/>
            <w:bottom w:w="0" w:type="dxa"/>
            <w:right w:w="0" w:type="dxa"/>
          </w:tblCellMar>
        </w:tblPrEx>
        <w:trPr>
          <w:trHeight w:val="379" w:hRule="atLeast"/>
        </w:trPr>
        <w:tc>
          <w:tcPr>
            <w:tcW w:w="1391"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产出指标</w:t>
            </w:r>
          </w:p>
        </w:tc>
        <w:tc>
          <w:tcPr>
            <w:tcW w:w="14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数量指标</w:t>
            </w:r>
          </w:p>
        </w:tc>
        <w:tc>
          <w:tcPr>
            <w:tcW w:w="251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征集数量</w:t>
            </w:r>
          </w:p>
        </w:tc>
        <w:tc>
          <w:tcPr>
            <w:tcW w:w="241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≥30件</w:t>
            </w:r>
          </w:p>
        </w:tc>
      </w:tr>
      <w:tr>
        <w:tblPrEx>
          <w:tblLayout w:type="fixed"/>
          <w:tblCellMar>
            <w:top w:w="0" w:type="dxa"/>
            <w:left w:w="0" w:type="dxa"/>
            <w:bottom w:w="0" w:type="dxa"/>
            <w:right w:w="0" w:type="dxa"/>
          </w:tblCellMar>
        </w:tblPrEx>
        <w:trPr>
          <w:trHeight w:val="379" w:hRule="atLeast"/>
        </w:trPr>
        <w:tc>
          <w:tcPr>
            <w:tcW w:w="1391"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质量指标</w:t>
            </w:r>
          </w:p>
        </w:tc>
        <w:tc>
          <w:tcPr>
            <w:tcW w:w="251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鉴证作用</w:t>
            </w:r>
          </w:p>
        </w:tc>
        <w:tc>
          <w:tcPr>
            <w:tcW w:w="241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提升馆藏藏品的文化内涵</w:t>
            </w:r>
          </w:p>
        </w:tc>
      </w:tr>
      <w:tr>
        <w:tblPrEx>
          <w:tblLayout w:type="fixed"/>
          <w:tblCellMar>
            <w:top w:w="0" w:type="dxa"/>
            <w:left w:w="0" w:type="dxa"/>
            <w:bottom w:w="0" w:type="dxa"/>
            <w:right w:w="0" w:type="dxa"/>
          </w:tblCellMar>
        </w:tblPrEx>
        <w:trPr>
          <w:trHeight w:val="379" w:hRule="atLeast"/>
        </w:trPr>
        <w:tc>
          <w:tcPr>
            <w:tcW w:w="1391"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时效指标</w:t>
            </w:r>
          </w:p>
        </w:tc>
        <w:tc>
          <w:tcPr>
            <w:tcW w:w="251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文物整理入库时间</w:t>
            </w:r>
          </w:p>
        </w:tc>
        <w:tc>
          <w:tcPr>
            <w:tcW w:w="241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≤365天</w:t>
            </w:r>
          </w:p>
        </w:tc>
      </w:tr>
      <w:tr>
        <w:tblPrEx>
          <w:tblLayout w:type="fixed"/>
          <w:tblCellMar>
            <w:top w:w="0" w:type="dxa"/>
            <w:left w:w="0" w:type="dxa"/>
            <w:bottom w:w="0" w:type="dxa"/>
            <w:right w:w="0" w:type="dxa"/>
          </w:tblCellMar>
        </w:tblPrEx>
        <w:trPr>
          <w:trHeight w:val="379" w:hRule="atLeast"/>
        </w:trPr>
        <w:tc>
          <w:tcPr>
            <w:tcW w:w="1391"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成本指标</w:t>
            </w:r>
          </w:p>
        </w:tc>
        <w:tc>
          <w:tcPr>
            <w:tcW w:w="251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文物征集经费</w:t>
            </w:r>
          </w:p>
        </w:tc>
        <w:tc>
          <w:tcPr>
            <w:tcW w:w="241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＝230000元</w:t>
            </w:r>
          </w:p>
        </w:tc>
      </w:tr>
      <w:tr>
        <w:tblPrEx>
          <w:tblLayout w:type="fixed"/>
          <w:tblCellMar>
            <w:top w:w="0" w:type="dxa"/>
            <w:left w:w="0" w:type="dxa"/>
            <w:bottom w:w="0" w:type="dxa"/>
            <w:right w:w="0" w:type="dxa"/>
          </w:tblCellMar>
        </w:tblPrEx>
        <w:trPr>
          <w:trHeight w:val="379" w:hRule="atLeast"/>
        </w:trPr>
        <w:tc>
          <w:tcPr>
            <w:tcW w:w="1391"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效益指标</w:t>
            </w:r>
          </w:p>
        </w:tc>
        <w:tc>
          <w:tcPr>
            <w:tcW w:w="14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社会效益指标</w:t>
            </w:r>
          </w:p>
        </w:tc>
        <w:tc>
          <w:tcPr>
            <w:tcW w:w="251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提升文物保护氛围</w:t>
            </w:r>
          </w:p>
        </w:tc>
        <w:tc>
          <w:tcPr>
            <w:tcW w:w="241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提升文物保护氛围</w:t>
            </w:r>
          </w:p>
        </w:tc>
      </w:tr>
      <w:tr>
        <w:tblPrEx>
          <w:tblLayout w:type="fixed"/>
          <w:tblCellMar>
            <w:top w:w="0" w:type="dxa"/>
            <w:left w:w="0" w:type="dxa"/>
            <w:bottom w:w="0" w:type="dxa"/>
            <w:right w:w="0" w:type="dxa"/>
          </w:tblCellMar>
        </w:tblPrEx>
        <w:trPr>
          <w:trHeight w:val="379" w:hRule="atLeast"/>
        </w:trPr>
        <w:tc>
          <w:tcPr>
            <w:tcW w:w="1391"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满意度指标</w:t>
            </w:r>
          </w:p>
        </w:tc>
        <w:tc>
          <w:tcPr>
            <w:tcW w:w="147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服务对象满意度</w:t>
            </w:r>
          </w:p>
        </w:tc>
        <w:tc>
          <w:tcPr>
            <w:tcW w:w="251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观众满意度调查</w:t>
            </w:r>
          </w:p>
        </w:tc>
        <w:tc>
          <w:tcPr>
            <w:tcW w:w="241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snapToGrid w:val="0"/>
                <w:color w:val="000000"/>
                <w:kern w:val="0"/>
                <w:sz w:val="22"/>
                <w:szCs w:val="22"/>
                <w:u w:val="none"/>
                <w:lang w:val="en-US" w:eastAsia="zh-CN" w:bidi="ar"/>
              </w:rPr>
              <w:t>≥90%</w:t>
            </w:r>
          </w:p>
        </w:tc>
      </w:tr>
    </w:tbl>
    <w:p>
      <w:pPr>
        <w:kinsoku/>
        <w:autoSpaceDE/>
        <w:autoSpaceDN/>
        <w:adjustRightInd/>
        <w:snapToGrid/>
        <w:textAlignment w:val="auto"/>
        <w:rPr>
          <w:rFonts w:ascii="宋体" w:hAnsi="宋体" w:eastAsia="宋体" w:cs="宋体"/>
          <w:snapToGrid/>
          <w:color w:val="auto"/>
          <w:sz w:val="24"/>
          <w:szCs w:val="24"/>
        </w:rPr>
      </w:pPr>
    </w:p>
    <w:p>
      <w:pPr>
        <w:spacing w:before="154" w:line="335" w:lineRule="auto"/>
        <w:ind w:right="70" w:firstLine="658"/>
        <w:rPr>
          <w:rFonts w:hint="eastAsia" w:ascii="仿宋" w:hAnsi="仿宋" w:cs="仿宋" w:eastAsiaTheme="minorEastAsia"/>
          <w:spacing w:val="-4"/>
          <w:sz w:val="31"/>
          <w:szCs w:val="31"/>
        </w:rPr>
      </w:pPr>
    </w:p>
    <w:p>
      <w:pPr>
        <w:sectPr>
          <w:footerReference r:id="rId4" w:type="default"/>
          <w:pgSz w:w="11906" w:h="16838"/>
          <w:pgMar w:top="1431" w:right="1391" w:bottom="1115" w:left="1598" w:header="0" w:footer="835" w:gutter="0"/>
          <w:pgNumType w:fmt="numberInDash" w:start="1"/>
          <w:cols w:space="720" w:num="1"/>
        </w:sectPr>
      </w:pPr>
    </w:p>
    <w:p>
      <w:pPr>
        <w:spacing w:before="100" w:line="227" w:lineRule="auto"/>
        <w:ind w:left="631"/>
        <w:rPr>
          <w:rFonts w:ascii="黑体" w:hAnsi="黑体" w:eastAsia="黑体" w:cs="黑体"/>
          <w:sz w:val="31"/>
          <w:szCs w:val="31"/>
        </w:rPr>
      </w:pPr>
      <w:r>
        <w:rPr>
          <w:rFonts w:ascii="黑体" w:hAnsi="黑体" w:eastAsia="黑体" w:cs="黑体"/>
          <w:spacing w:val="13"/>
          <w:sz w:val="31"/>
          <w:szCs w:val="31"/>
        </w:rPr>
        <w:t>第</w:t>
      </w:r>
      <w:r>
        <w:rPr>
          <w:rFonts w:ascii="黑体" w:hAnsi="黑体" w:eastAsia="黑体" w:cs="黑体"/>
          <w:spacing w:val="9"/>
          <w:sz w:val="31"/>
          <w:szCs w:val="31"/>
        </w:rPr>
        <w:t>四部分：名词解释</w:t>
      </w:r>
    </w:p>
    <w:p>
      <w:pPr>
        <w:spacing w:before="1" w:line="216" w:lineRule="auto"/>
        <w:ind w:left="663"/>
        <w:rPr>
          <w:rFonts w:ascii="微软雅黑" w:hAnsi="微软雅黑" w:eastAsia="微软雅黑" w:cs="微软雅黑"/>
          <w:sz w:val="31"/>
          <w:szCs w:val="31"/>
        </w:rPr>
      </w:pPr>
      <w:r>
        <w:rPr>
          <w:rFonts w:ascii="仿宋" w:hAnsi="仿宋" w:eastAsia="仿宋" w:cs="仿宋"/>
          <w:spacing w:val="-10"/>
          <w:sz w:val="31"/>
          <w:szCs w:val="31"/>
        </w:rPr>
        <w:t>一</w:t>
      </w:r>
      <w:r>
        <w:rPr>
          <w:rFonts w:ascii="仿宋" w:hAnsi="仿宋" w:eastAsia="仿宋" w:cs="仿宋"/>
          <w:spacing w:val="-8"/>
          <w:sz w:val="31"/>
          <w:szCs w:val="31"/>
        </w:rPr>
        <w:t xml:space="preserve">、 </w:t>
      </w:r>
      <w:r>
        <w:rPr>
          <w:rFonts w:ascii="微软雅黑" w:hAnsi="微软雅黑" w:eastAsia="微软雅黑" w:cs="微软雅黑"/>
          <w:spacing w:val="-8"/>
          <w:sz w:val="31"/>
          <w:szCs w:val="31"/>
        </w:rPr>
        <w:t>收入科目名词解释</w:t>
      </w:r>
    </w:p>
    <w:p>
      <w:pPr>
        <w:tabs>
          <w:tab w:val="center" w:pos="4475"/>
        </w:tabs>
        <w:kinsoku/>
        <w:autoSpaceDE/>
        <w:autoSpaceDN/>
        <w:adjustRightInd/>
        <w:spacing w:line="520" w:lineRule="exact"/>
        <w:ind w:firstLine="645"/>
        <w:textAlignment w:val="auto"/>
        <w:rPr>
          <w:rFonts w:ascii="仿宋_GB2312" w:eastAsia="仿宋_GB2312"/>
          <w:sz w:val="32"/>
          <w:szCs w:val="32"/>
        </w:rPr>
      </w:pPr>
      <w:r>
        <w:rPr>
          <w:rFonts w:hint="eastAsia" w:ascii="仿宋_GB2312" w:eastAsia="仿宋_GB2312"/>
          <w:sz w:val="32"/>
          <w:szCs w:val="32"/>
        </w:rPr>
        <w:t>（一）一般公共预算拨款收入：是指财政部门用一般预算收入安排的预算单位资金。</w:t>
      </w:r>
    </w:p>
    <w:p>
      <w:pPr>
        <w:tabs>
          <w:tab w:val="center" w:pos="4475"/>
        </w:tabs>
        <w:kinsoku/>
        <w:autoSpaceDE/>
        <w:autoSpaceDN/>
        <w:adjustRightIn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（二）上级补助收入：是指事业单位从主管部门和上级单位取得的非财政补助收入。</w:t>
      </w:r>
    </w:p>
    <w:p>
      <w:pPr>
        <w:tabs>
          <w:tab w:val="center" w:pos="4475"/>
        </w:tabs>
        <w:kinsoku/>
        <w:autoSpaceDE/>
        <w:autoSpaceDN/>
        <w:adjustRightInd/>
        <w:spacing w:line="520" w:lineRule="exact"/>
        <w:ind w:firstLine="645"/>
        <w:textAlignment w:val="auto"/>
        <w:rPr>
          <w:rFonts w:ascii="仿宋_GB2312" w:eastAsia="仿宋_GB2312"/>
          <w:sz w:val="32"/>
          <w:szCs w:val="32"/>
        </w:rPr>
      </w:pPr>
      <w:r>
        <w:rPr>
          <w:rFonts w:hint="eastAsia" w:ascii="仿宋_GB2312" w:eastAsia="仿宋_GB2312"/>
          <w:sz w:val="32"/>
          <w:szCs w:val="32"/>
        </w:rPr>
        <w:t>（三）事业收入：指事业单位开展专业业务活动及辅助活动所取得的收入。</w:t>
      </w:r>
    </w:p>
    <w:p>
      <w:pPr>
        <w:tabs>
          <w:tab w:val="center" w:pos="4475"/>
        </w:tabs>
        <w:kinsoku/>
        <w:autoSpaceDE/>
        <w:autoSpaceDN/>
        <w:adjustRightInd/>
        <w:spacing w:line="520" w:lineRule="exact"/>
        <w:ind w:firstLine="645"/>
        <w:textAlignment w:val="auto"/>
        <w:rPr>
          <w:rFonts w:ascii="仿宋_GB2312" w:eastAsia="仿宋_GB2312"/>
          <w:sz w:val="32"/>
          <w:szCs w:val="32"/>
        </w:rPr>
      </w:pPr>
      <w:r>
        <w:rPr>
          <w:rFonts w:hint="eastAsia" w:ascii="仿宋_GB2312" w:eastAsia="仿宋_GB2312"/>
          <w:sz w:val="32"/>
          <w:szCs w:val="32"/>
        </w:rPr>
        <w:t>（四）事业单位经营收入：指事业单位在专业业务活动及其辅助活动之外开展非独立核算经营活动取得的收入。</w:t>
      </w:r>
    </w:p>
    <w:p>
      <w:pPr>
        <w:tabs>
          <w:tab w:val="center" w:pos="4475"/>
        </w:tabs>
        <w:kinsoku/>
        <w:autoSpaceDE/>
        <w:autoSpaceDN/>
        <w:adjustRightInd/>
        <w:spacing w:line="520" w:lineRule="exact"/>
        <w:ind w:firstLine="645"/>
        <w:textAlignment w:val="auto"/>
        <w:rPr>
          <w:rFonts w:ascii="仿宋_GB2312" w:eastAsia="仿宋_GB2312"/>
          <w:sz w:val="32"/>
          <w:szCs w:val="32"/>
        </w:rPr>
      </w:pPr>
      <w:r>
        <w:rPr>
          <w:rFonts w:hint="eastAsia" w:ascii="仿宋_GB2312" w:eastAsia="仿宋_GB2312"/>
          <w:sz w:val="32"/>
          <w:szCs w:val="32"/>
        </w:rPr>
        <w:t>（五）非同级财政拨款收入：从非同级政府财政部门取得的经费拨款，包括从同级政府其他部门取得的横向转拨财政款、从上级或下级政府财政部门取得的经费拨款等。</w:t>
      </w:r>
    </w:p>
    <w:p>
      <w:pPr>
        <w:tabs>
          <w:tab w:val="center" w:pos="4475"/>
        </w:tabs>
        <w:kinsoku/>
        <w:autoSpaceDE/>
        <w:autoSpaceDN/>
        <w:adjustRightInd/>
        <w:spacing w:line="520" w:lineRule="exact"/>
        <w:ind w:firstLine="645"/>
        <w:textAlignment w:val="auto"/>
        <w:rPr>
          <w:rFonts w:ascii="仿宋_GB2312" w:eastAsia="仿宋_GB2312"/>
          <w:sz w:val="32"/>
          <w:szCs w:val="32"/>
        </w:rPr>
      </w:pPr>
      <w:r>
        <w:rPr>
          <w:rFonts w:hint="eastAsia" w:ascii="仿宋_GB2312" w:eastAsia="仿宋_GB2312"/>
          <w:sz w:val="32"/>
          <w:szCs w:val="32"/>
        </w:rPr>
        <w:t>（六）其他收入：指除上述“一般公共预算拨款收入”、“事业收入”、“上级补助收入”、“事业单位经营收入”、“非同级财政拨款收入”等以外的收入。</w:t>
      </w:r>
    </w:p>
    <w:p>
      <w:pPr>
        <w:tabs>
          <w:tab w:val="center" w:pos="4475"/>
        </w:tabs>
        <w:kinsoku/>
        <w:autoSpaceDE/>
        <w:autoSpaceDN/>
        <w:adjustRightInd/>
        <w:spacing w:line="520" w:lineRule="exact"/>
        <w:ind w:firstLine="640" w:firstLineChars="200"/>
        <w:textAlignment w:val="auto"/>
        <w:rPr>
          <w:rFonts w:ascii="仿宋_GB2312" w:eastAsia="仿宋_GB2312"/>
          <w:sz w:val="32"/>
          <w:szCs w:val="32"/>
        </w:rPr>
      </w:pPr>
      <w:r>
        <w:rPr>
          <w:rFonts w:hint="eastAsia" w:ascii="方正小标宋简体" w:eastAsia="方正小标宋简体"/>
          <w:sz w:val="32"/>
          <w:szCs w:val="32"/>
        </w:rPr>
        <w:t>二、支出科目名词解释</w:t>
      </w:r>
    </w:p>
    <w:p>
      <w:pPr>
        <w:kinsoku/>
        <w:autoSpaceDE/>
        <w:autoSpaceDN/>
        <w:adjustRightInd/>
        <w:spacing w:line="52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（一）基本支出：是指为保</w:t>
      </w:r>
      <w:r>
        <w:rPr>
          <w:rFonts w:hint="eastAsia" w:ascii="仿宋_GB2312" w:eastAsia="仿宋_GB2312"/>
          <w:sz w:val="32"/>
          <w:szCs w:val="32"/>
        </w:rPr>
        <w:t>障</w:t>
      </w:r>
      <w:r>
        <w:rPr>
          <w:rFonts w:hint="eastAsia" w:ascii="仿宋_GB2312" w:hAnsi="宋体" w:eastAsia="仿宋_GB2312" w:cs="宋体"/>
          <w:sz w:val="32"/>
          <w:szCs w:val="32"/>
        </w:rPr>
        <w:t>单位正常运转、完成日常工作任务而发生的各项支出，包括职工工资、职工社会保障缴费、水电费、差旅费等人员支出和日常公用经费两部分。</w:t>
      </w:r>
    </w:p>
    <w:p>
      <w:pPr>
        <w:kinsoku/>
        <w:autoSpaceDE/>
        <w:autoSpaceDN/>
        <w:adjustRightInd/>
        <w:spacing w:line="52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（二）项目支出：指在基本支出之外为完成特定行政任务和事业发展目标所发生的支出。</w:t>
      </w:r>
    </w:p>
    <w:p>
      <w:pPr>
        <w:kinsoku/>
        <w:autoSpaceDE/>
        <w:autoSpaceDN/>
        <w:adjustRightInd/>
        <w:spacing w:line="52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（三）上缴上级支出：指下级单位上缴上级的支出。</w:t>
      </w:r>
    </w:p>
    <w:p>
      <w:pPr>
        <w:kinsoku/>
        <w:autoSpaceDE/>
        <w:autoSpaceDN/>
        <w:adjustRightInd/>
        <w:spacing w:line="52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（四）事业单位经营支出：指事业单位在专业业务活动及其辅助活动之外开展非独立核算经营活动发生的支出。</w:t>
      </w:r>
    </w:p>
    <w:p>
      <w:pPr>
        <w:tabs>
          <w:tab w:val="left" w:pos="1307"/>
        </w:tabs>
        <w:kinsoku/>
        <w:autoSpaceDE/>
        <w:autoSpaceDN/>
        <w:adjustRightInd/>
        <w:spacing w:line="520" w:lineRule="exact"/>
        <w:ind w:firstLine="645"/>
        <w:textAlignment w:val="auto"/>
        <w:rPr>
          <w:rFonts w:ascii="仿宋_GB2312" w:eastAsia="仿宋_GB2312"/>
          <w:sz w:val="32"/>
          <w:szCs w:val="32"/>
        </w:rPr>
      </w:pPr>
      <w:r>
        <w:rPr>
          <w:rFonts w:hint="eastAsia" w:ascii="仿宋_GB2312" w:hAnsi="宋体" w:eastAsia="仿宋_GB2312" w:cs="宋体"/>
          <w:sz w:val="32"/>
          <w:szCs w:val="32"/>
        </w:rPr>
        <w:t>（五）对下级单位补助支出：指对下级单位补助发生的支出。</w:t>
      </w:r>
    </w:p>
    <w:p>
      <w:pPr>
        <w:tabs>
          <w:tab w:val="center" w:pos="4475"/>
        </w:tabs>
        <w:kinsoku/>
        <w:autoSpaceDE/>
        <w:autoSpaceDN/>
        <w:adjustRightInd/>
        <w:spacing w:line="520" w:lineRule="exact"/>
        <w:ind w:firstLine="640" w:firstLineChars="200"/>
        <w:textAlignment w:val="auto"/>
        <w:rPr>
          <w:rFonts w:ascii="方正小标宋简体" w:eastAsia="方正小标宋简体"/>
          <w:sz w:val="32"/>
          <w:szCs w:val="32"/>
        </w:rPr>
      </w:pPr>
      <w:r>
        <w:rPr>
          <w:rFonts w:hint="eastAsia" w:ascii="方正小标宋简体" w:eastAsia="方正小标宋简体"/>
          <w:sz w:val="32"/>
          <w:szCs w:val="32"/>
        </w:rPr>
        <w:t>三、“三公”经费</w:t>
      </w:r>
    </w:p>
    <w:p>
      <w:pPr>
        <w:tabs>
          <w:tab w:val="center" w:pos="4475"/>
        </w:tabs>
        <w:kinsoku/>
        <w:autoSpaceDE/>
        <w:autoSpaceDN/>
        <w:adjustRightInd/>
        <w:spacing w:line="520" w:lineRule="exact"/>
        <w:textAlignment w:val="auto"/>
        <w:rPr>
          <w:rFonts w:ascii="仿宋_GB2312" w:eastAsia="仿宋_GB2312"/>
          <w:sz w:val="32"/>
          <w:szCs w:val="32"/>
        </w:rPr>
      </w:pPr>
      <w:r>
        <w:rPr>
          <w:rFonts w:hint="eastAsia" w:ascii="仿宋_GB2312" w:eastAsia="仿宋_GB2312"/>
          <w:sz w:val="32"/>
          <w:szCs w:val="32"/>
        </w:rPr>
        <w:t xml:space="preserve">       纳入财政预决算管理的“三公”经费，是指各部门用财政拨款安排的因公出国（境）费、公务用车购置及运行维护费和公务接待费。其中，因公出国（境）费反映单位公务出国（境）的国际旅费、国外城市间交通费、住宿费、旅费、伙食费、培训费、公杂费等支出；公务用车购置及运行维护费反映单位公务用车购置支出（含车辆购置税）及租用费、燃料费、维修费、过桥过路费、保险费、安全奖励费用等支出；公务接待费反映单位按规定开支的各类公务接待支出。</w:t>
      </w:r>
    </w:p>
    <w:p>
      <w:pPr>
        <w:tabs>
          <w:tab w:val="center" w:pos="4475"/>
        </w:tabs>
        <w:kinsoku/>
        <w:autoSpaceDE/>
        <w:autoSpaceDN/>
        <w:adjustRightInd/>
        <w:spacing w:line="520" w:lineRule="exact"/>
        <w:ind w:firstLine="645"/>
        <w:textAlignment w:val="auto"/>
        <w:rPr>
          <w:rFonts w:ascii="仿宋_GB2312" w:eastAsia="仿宋_GB2312"/>
          <w:sz w:val="32"/>
          <w:szCs w:val="32"/>
        </w:rPr>
      </w:pPr>
      <w:r>
        <w:rPr>
          <w:rFonts w:hint="eastAsia" w:ascii="黑体" w:hAnsi="黑体" w:eastAsia="黑体" w:cs="黑体"/>
          <w:sz w:val="32"/>
          <w:szCs w:val="32"/>
        </w:rPr>
        <w:t>四、机关运行经费</w:t>
      </w:r>
    </w:p>
    <w:p>
      <w:pPr>
        <w:tabs>
          <w:tab w:val="center" w:pos="4475"/>
        </w:tabs>
        <w:kinsoku/>
        <w:autoSpaceDE/>
        <w:autoSpaceDN/>
        <w:adjustRightIn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center" w:pos="4475"/>
        </w:tabs>
        <w:kinsoku/>
        <w:autoSpaceDE/>
        <w:autoSpaceDN/>
        <w:adjustRightInd/>
        <w:spacing w:line="520" w:lineRule="exact"/>
        <w:ind w:firstLine="616" w:firstLineChars="200"/>
        <w:textAlignment w:val="auto"/>
        <w:rPr>
          <w:rFonts w:ascii="黑体" w:hAnsi="黑体" w:eastAsia="黑体" w:cs="黑体"/>
          <w:sz w:val="31"/>
          <w:szCs w:val="31"/>
        </w:rPr>
      </w:pPr>
      <w:r>
        <w:rPr>
          <w:rFonts w:ascii="黑体" w:hAnsi="黑体" w:eastAsia="黑体" w:cs="黑体"/>
          <w:spacing w:val="-1"/>
          <w:sz w:val="31"/>
          <w:szCs w:val="31"/>
        </w:rPr>
        <w:t>第五部分：</w:t>
      </w:r>
      <w:r>
        <w:rPr>
          <w:rFonts w:hint="eastAsia" w:ascii="黑体" w:hAnsi="黑体" w:eastAsia="黑体" w:cs="黑体"/>
          <w:spacing w:val="-1"/>
          <w:sz w:val="31"/>
          <w:szCs w:val="31"/>
        </w:rPr>
        <w:t>贺州市博物馆</w:t>
      </w:r>
      <w:r>
        <w:rPr>
          <w:rFonts w:ascii="黑体" w:hAnsi="黑体" w:eastAsia="黑体" w:cs="黑体"/>
          <w:spacing w:val="-1"/>
          <w:sz w:val="31"/>
          <w:szCs w:val="31"/>
        </w:rPr>
        <w:t>2023</w:t>
      </w:r>
      <w:r>
        <w:rPr>
          <w:rFonts w:ascii="黑体" w:hAnsi="黑体" w:eastAsia="黑体" w:cs="黑体"/>
          <w:sz w:val="31"/>
          <w:szCs w:val="31"/>
        </w:rPr>
        <w:t>年预算公开报表</w:t>
      </w:r>
    </w:p>
    <w:p>
      <w:pPr>
        <w:spacing w:before="181" w:line="222" w:lineRule="auto"/>
        <w:ind w:left="659"/>
        <w:rPr>
          <w:rFonts w:ascii="仿宋" w:hAnsi="仿宋" w:eastAsia="仿宋" w:cs="仿宋"/>
          <w:sz w:val="31"/>
          <w:szCs w:val="31"/>
        </w:rPr>
      </w:pPr>
      <w:r>
        <w:rPr>
          <w:rFonts w:ascii="仿宋" w:hAnsi="仿宋" w:eastAsia="仿宋" w:cs="仿宋"/>
          <w:spacing w:val="-7"/>
          <w:sz w:val="31"/>
          <w:szCs w:val="31"/>
        </w:rPr>
        <w:t xml:space="preserve">一、 </w:t>
      </w:r>
      <w:r>
        <w:rPr>
          <w:rFonts w:ascii="宋体" w:hAnsi="宋体" w:eastAsia="宋体" w:cs="宋体"/>
          <w:spacing w:val="-7"/>
          <w:sz w:val="31"/>
          <w:szCs w:val="31"/>
        </w:rPr>
        <w:t xml:space="preserve">2023 </w:t>
      </w:r>
      <w:r>
        <w:rPr>
          <w:rFonts w:ascii="仿宋" w:hAnsi="仿宋" w:eastAsia="仿宋" w:cs="仿宋"/>
          <w:spacing w:val="-7"/>
          <w:sz w:val="31"/>
          <w:szCs w:val="31"/>
        </w:rPr>
        <w:t>年部门预算信息公开</w:t>
      </w:r>
      <w:r>
        <w:rPr>
          <w:rFonts w:ascii="仿宋" w:hAnsi="仿宋" w:eastAsia="仿宋" w:cs="仿宋"/>
          <w:spacing w:val="-5"/>
          <w:sz w:val="31"/>
          <w:szCs w:val="31"/>
        </w:rPr>
        <w:t>表</w:t>
      </w:r>
    </w:p>
    <w:p>
      <w:pPr>
        <w:spacing w:before="184" w:line="224" w:lineRule="auto"/>
        <w:ind w:left="631"/>
        <w:rPr>
          <w:rFonts w:ascii="仿宋" w:hAnsi="仿宋" w:eastAsia="仿宋" w:cs="仿宋"/>
          <w:sz w:val="31"/>
          <w:szCs w:val="31"/>
        </w:rPr>
      </w:pPr>
      <w:r>
        <w:rPr>
          <w:rFonts w:ascii="仿宋" w:hAnsi="仿宋" w:eastAsia="仿宋" w:cs="仿宋"/>
          <w:spacing w:val="30"/>
          <w:sz w:val="31"/>
          <w:szCs w:val="31"/>
        </w:rPr>
        <w:t>(</w:t>
      </w:r>
      <w:r>
        <w:rPr>
          <w:rFonts w:ascii="仿宋" w:hAnsi="仿宋" w:eastAsia="仿宋" w:cs="仿宋"/>
          <w:spacing w:val="20"/>
          <w:sz w:val="31"/>
          <w:szCs w:val="31"/>
        </w:rPr>
        <w:t>一) 部门收支总体情况表</w:t>
      </w:r>
    </w:p>
    <w:p>
      <w:pPr>
        <w:spacing w:before="186" w:line="222" w:lineRule="auto"/>
        <w:ind w:left="631"/>
        <w:rPr>
          <w:rFonts w:ascii="仿宋" w:hAnsi="仿宋" w:eastAsia="仿宋" w:cs="仿宋"/>
          <w:sz w:val="31"/>
          <w:szCs w:val="31"/>
        </w:rPr>
      </w:pPr>
      <w:r>
        <w:rPr>
          <w:rFonts w:ascii="仿宋" w:hAnsi="仿宋" w:eastAsia="仿宋" w:cs="仿宋"/>
          <w:spacing w:val="30"/>
          <w:sz w:val="31"/>
          <w:szCs w:val="31"/>
        </w:rPr>
        <w:t>(</w:t>
      </w:r>
      <w:r>
        <w:rPr>
          <w:rFonts w:ascii="仿宋" w:hAnsi="仿宋" w:eastAsia="仿宋" w:cs="仿宋"/>
          <w:spacing w:val="20"/>
          <w:sz w:val="31"/>
          <w:szCs w:val="31"/>
        </w:rPr>
        <w:t>二) 部门收入总体情况表</w:t>
      </w:r>
    </w:p>
    <w:p>
      <w:pPr>
        <w:spacing w:before="189" w:line="222" w:lineRule="auto"/>
        <w:ind w:left="631"/>
        <w:rPr>
          <w:rFonts w:ascii="仿宋" w:hAnsi="仿宋" w:eastAsia="仿宋" w:cs="仿宋"/>
          <w:spacing w:val="20"/>
          <w:sz w:val="31"/>
          <w:szCs w:val="31"/>
        </w:rPr>
      </w:pPr>
      <w:r>
        <w:rPr>
          <w:rFonts w:ascii="仿宋" w:hAnsi="仿宋" w:eastAsia="仿宋" w:cs="仿宋"/>
          <w:spacing w:val="30"/>
          <w:sz w:val="31"/>
          <w:szCs w:val="31"/>
        </w:rPr>
        <w:t>(</w:t>
      </w:r>
      <w:r>
        <w:rPr>
          <w:rFonts w:ascii="仿宋" w:hAnsi="仿宋" w:eastAsia="仿宋" w:cs="仿宋"/>
          <w:spacing w:val="20"/>
          <w:sz w:val="31"/>
          <w:szCs w:val="31"/>
        </w:rPr>
        <w:t>三) 部门支出总体情况表</w:t>
      </w:r>
    </w:p>
    <w:p>
      <w:pPr>
        <w:spacing w:before="189" w:line="222" w:lineRule="auto"/>
        <w:ind w:left="631"/>
        <w:rPr>
          <w:rFonts w:ascii="仿宋" w:hAnsi="仿宋" w:eastAsia="仿宋" w:cs="仿宋"/>
          <w:spacing w:val="30"/>
          <w:sz w:val="31"/>
          <w:szCs w:val="31"/>
        </w:rPr>
      </w:pPr>
      <w:r>
        <w:rPr>
          <w:rFonts w:ascii="仿宋" w:hAnsi="仿宋" w:eastAsia="仿宋" w:cs="仿宋"/>
          <w:spacing w:val="30"/>
          <w:sz w:val="31"/>
          <w:szCs w:val="31"/>
        </w:rPr>
        <w:t>(四) 财政拨款收支总体情况表</w:t>
      </w:r>
    </w:p>
    <w:p>
      <w:pPr>
        <w:spacing w:before="184" w:line="224" w:lineRule="auto"/>
        <w:ind w:left="631"/>
        <w:rPr>
          <w:rFonts w:ascii="仿宋" w:hAnsi="仿宋" w:eastAsia="仿宋" w:cs="仿宋"/>
          <w:spacing w:val="30"/>
          <w:sz w:val="31"/>
          <w:szCs w:val="31"/>
        </w:rPr>
      </w:pPr>
      <w:r>
        <w:rPr>
          <w:rFonts w:ascii="仿宋" w:hAnsi="仿宋" w:eastAsia="仿宋" w:cs="仿宋"/>
          <w:spacing w:val="30"/>
          <w:sz w:val="31"/>
          <w:szCs w:val="31"/>
        </w:rPr>
        <w:t>(五) 一般公共预算支出情况表</w:t>
      </w:r>
    </w:p>
    <w:p>
      <w:pPr>
        <w:spacing w:before="184" w:line="224" w:lineRule="auto"/>
        <w:ind w:left="631"/>
        <w:rPr>
          <w:rFonts w:ascii="仿宋" w:hAnsi="仿宋" w:eastAsia="仿宋" w:cs="仿宋"/>
          <w:spacing w:val="30"/>
          <w:sz w:val="31"/>
          <w:szCs w:val="31"/>
        </w:rPr>
      </w:pPr>
      <w:r>
        <w:rPr>
          <w:rFonts w:ascii="仿宋" w:hAnsi="仿宋" w:eastAsia="仿宋" w:cs="仿宋"/>
          <w:spacing w:val="30"/>
          <w:sz w:val="31"/>
          <w:szCs w:val="31"/>
        </w:rPr>
        <w:t>(六) 一般公共预算基本支出情况表</w:t>
      </w:r>
    </w:p>
    <w:p>
      <w:pPr>
        <w:spacing w:before="184" w:line="224" w:lineRule="auto"/>
        <w:ind w:left="631"/>
        <w:rPr>
          <w:rFonts w:ascii="仿宋" w:hAnsi="仿宋" w:eastAsia="仿宋" w:cs="仿宋"/>
          <w:spacing w:val="30"/>
          <w:sz w:val="31"/>
          <w:szCs w:val="31"/>
        </w:rPr>
      </w:pPr>
      <w:r>
        <w:rPr>
          <w:rFonts w:ascii="仿宋" w:hAnsi="仿宋" w:eastAsia="仿宋" w:cs="仿宋"/>
          <w:spacing w:val="30"/>
          <w:sz w:val="31"/>
          <w:szCs w:val="31"/>
        </w:rPr>
        <w:t>(七)一般公共预算 “三公”经费支出情况表</w:t>
      </w:r>
    </w:p>
    <w:p>
      <w:pPr>
        <w:spacing w:before="184" w:line="224" w:lineRule="auto"/>
        <w:ind w:left="631"/>
        <w:rPr>
          <w:rFonts w:ascii="仿宋" w:hAnsi="仿宋" w:eastAsia="仿宋" w:cs="仿宋"/>
          <w:spacing w:val="30"/>
          <w:sz w:val="31"/>
          <w:szCs w:val="31"/>
        </w:rPr>
      </w:pPr>
      <w:r>
        <w:rPr>
          <w:rFonts w:ascii="仿宋" w:hAnsi="仿宋" w:eastAsia="仿宋" w:cs="仿宋"/>
          <w:spacing w:val="30"/>
          <w:sz w:val="31"/>
          <w:szCs w:val="31"/>
        </w:rPr>
        <w:t>(八) 政府性基金预算支出情况表</w:t>
      </w:r>
    </w:p>
    <w:p>
      <w:pPr>
        <w:spacing w:before="184" w:line="224" w:lineRule="auto"/>
        <w:ind w:left="631"/>
        <w:rPr>
          <w:rFonts w:ascii="仿宋" w:hAnsi="仿宋" w:eastAsia="仿宋" w:cs="仿宋"/>
          <w:spacing w:val="30"/>
          <w:sz w:val="31"/>
          <w:szCs w:val="31"/>
        </w:rPr>
      </w:pPr>
      <w:r>
        <w:rPr>
          <w:rFonts w:ascii="仿宋" w:hAnsi="仿宋" w:eastAsia="仿宋" w:cs="仿宋"/>
          <w:spacing w:val="30"/>
          <w:sz w:val="31"/>
          <w:szCs w:val="31"/>
        </w:rPr>
        <w:t>(九)国有资本经营预算支出情况表</w:t>
      </w:r>
    </w:p>
    <w:p>
      <w:pPr>
        <w:spacing w:before="184" w:line="224" w:lineRule="auto"/>
        <w:ind w:left="631"/>
        <w:rPr>
          <w:rFonts w:ascii="仿宋" w:hAnsi="仿宋" w:eastAsia="仿宋" w:cs="仿宋"/>
          <w:spacing w:val="30"/>
          <w:sz w:val="31"/>
          <w:szCs w:val="31"/>
        </w:rPr>
      </w:pPr>
      <w:r>
        <w:rPr>
          <w:rFonts w:ascii="仿宋" w:hAnsi="仿宋" w:eastAsia="仿宋" w:cs="仿宋"/>
          <w:spacing w:val="30"/>
          <w:sz w:val="31"/>
          <w:szCs w:val="31"/>
        </w:rPr>
        <w:t>二、 2023 年部门预算绩效目标公开表</w:t>
      </w:r>
    </w:p>
    <w:p>
      <w:pPr>
        <w:spacing w:before="184" w:line="224" w:lineRule="auto"/>
        <w:ind w:left="631"/>
        <w:rPr>
          <w:rFonts w:ascii="仿宋" w:hAnsi="仿宋" w:eastAsia="仿宋" w:cs="仿宋"/>
          <w:spacing w:val="30"/>
          <w:sz w:val="31"/>
          <w:szCs w:val="31"/>
        </w:rPr>
      </w:pPr>
      <w:r>
        <w:rPr>
          <w:rFonts w:ascii="仿宋" w:hAnsi="仿宋" w:eastAsia="仿宋" w:cs="仿宋"/>
          <w:spacing w:val="30"/>
          <w:sz w:val="31"/>
          <w:szCs w:val="31"/>
        </w:rPr>
        <w:t>(</w:t>
      </w:r>
      <w:r>
        <w:rPr>
          <w:rFonts w:hint="eastAsia" w:ascii="仿宋" w:hAnsi="仿宋" w:eastAsia="仿宋" w:cs="仿宋"/>
          <w:spacing w:val="30"/>
          <w:sz w:val="31"/>
          <w:szCs w:val="31"/>
        </w:rPr>
        <w:t>一</w:t>
      </w:r>
      <w:r>
        <w:rPr>
          <w:rFonts w:ascii="仿宋" w:hAnsi="仿宋" w:eastAsia="仿宋" w:cs="仿宋"/>
          <w:spacing w:val="30"/>
          <w:sz w:val="31"/>
          <w:szCs w:val="31"/>
        </w:rPr>
        <w:t>) 部门项目支出绩效目标表</w:t>
      </w:r>
    </w:p>
    <w:p>
      <w:pPr>
        <w:spacing w:line="299" w:lineRule="auto"/>
      </w:pPr>
    </w:p>
    <w:p>
      <w:pPr>
        <w:spacing w:line="300" w:lineRule="auto"/>
      </w:pPr>
    </w:p>
    <w:p>
      <w:pPr>
        <w:spacing w:line="300" w:lineRule="auto"/>
      </w:pPr>
    </w:p>
    <w:p>
      <w:pPr>
        <w:spacing w:line="300" w:lineRule="auto"/>
      </w:pPr>
    </w:p>
    <w:p>
      <w:pPr>
        <w:spacing w:before="101" w:line="222" w:lineRule="auto"/>
        <w:ind w:left="987"/>
        <w:rPr>
          <w:rFonts w:ascii="仿宋" w:hAnsi="仿宋" w:eastAsia="仿宋" w:cs="仿宋"/>
          <w:sz w:val="31"/>
          <w:szCs w:val="31"/>
        </w:rPr>
      </w:pPr>
      <w:r>
        <w:rPr>
          <w:rFonts w:ascii="仿宋" w:hAnsi="仿宋" w:eastAsia="仿宋" w:cs="仿宋"/>
          <w:spacing w:val="4"/>
          <w:sz w:val="31"/>
          <w:szCs w:val="31"/>
        </w:rPr>
        <w:t>附件：</w:t>
      </w:r>
      <w:r>
        <w:rPr>
          <w:rFonts w:ascii="仿宋" w:hAnsi="仿宋" w:eastAsia="仿宋" w:cs="仿宋"/>
          <w:spacing w:val="2"/>
          <w:sz w:val="31"/>
          <w:szCs w:val="31"/>
        </w:rPr>
        <w:t>1.</w:t>
      </w:r>
      <w:r>
        <w:rPr>
          <w:rFonts w:ascii="宋体" w:hAnsi="宋体" w:eastAsia="宋体" w:cs="宋体"/>
          <w:spacing w:val="2"/>
          <w:sz w:val="31"/>
          <w:szCs w:val="31"/>
        </w:rPr>
        <w:t xml:space="preserve">2023 </w:t>
      </w:r>
      <w:r>
        <w:rPr>
          <w:rFonts w:ascii="仿宋" w:hAnsi="仿宋" w:eastAsia="仿宋" w:cs="仿宋"/>
          <w:spacing w:val="2"/>
          <w:sz w:val="31"/>
          <w:szCs w:val="31"/>
        </w:rPr>
        <w:t>年部门预算信息公开表</w:t>
      </w:r>
    </w:p>
    <w:p>
      <w:pPr>
        <w:spacing w:before="189" w:line="222" w:lineRule="auto"/>
        <w:ind w:left="1927"/>
        <w:rPr>
          <w:rFonts w:ascii="仿宋" w:hAnsi="仿宋" w:eastAsia="仿宋" w:cs="仿宋"/>
          <w:sz w:val="31"/>
          <w:szCs w:val="31"/>
        </w:rPr>
      </w:pPr>
      <w:r>
        <w:rPr>
          <w:rFonts w:ascii="宋体" w:hAnsi="宋体" w:eastAsia="宋体" w:cs="宋体"/>
          <w:spacing w:val="3"/>
          <w:sz w:val="31"/>
          <w:szCs w:val="31"/>
        </w:rPr>
        <w:t xml:space="preserve">2.2023 </w:t>
      </w:r>
      <w:r>
        <w:rPr>
          <w:rFonts w:ascii="仿宋" w:hAnsi="仿宋" w:eastAsia="仿宋" w:cs="仿宋"/>
          <w:spacing w:val="3"/>
          <w:sz w:val="31"/>
          <w:szCs w:val="31"/>
        </w:rPr>
        <w:t>年部门预算绩效目标公开表</w:t>
      </w:r>
    </w:p>
    <w:p>
      <w:pPr>
        <w:spacing w:line="299" w:lineRule="auto"/>
      </w:pPr>
    </w:p>
    <w:p>
      <w:pPr>
        <w:spacing w:line="300" w:lineRule="auto"/>
      </w:pPr>
    </w:p>
    <w:p>
      <w:pPr>
        <w:spacing w:line="300" w:lineRule="auto"/>
      </w:pPr>
    </w:p>
    <w:p>
      <w:pPr>
        <w:spacing w:line="300" w:lineRule="auto"/>
      </w:pPr>
    </w:p>
    <w:p>
      <w:pPr>
        <w:spacing w:before="101" w:line="221" w:lineRule="auto"/>
        <w:ind w:left="4967"/>
        <w:rPr>
          <w:rFonts w:ascii="仿宋" w:hAnsi="仿宋" w:eastAsia="仿宋" w:cs="仿宋"/>
          <w:sz w:val="31"/>
          <w:szCs w:val="31"/>
        </w:rPr>
      </w:pPr>
      <w:r>
        <w:rPr>
          <w:rFonts w:hint="eastAsia" w:ascii="仿宋" w:hAnsi="仿宋" w:eastAsia="宋体" w:cs="仿宋"/>
          <w:sz w:val="31"/>
          <w:szCs w:val="31"/>
        </w:rPr>
        <w:t>贺州市博物馆</w:t>
      </w:r>
      <w:r>
        <w:rPr>
          <w:rFonts w:ascii="仿宋" w:hAnsi="仿宋" w:eastAsia="仿宋" w:cs="仿宋"/>
          <w:spacing w:val="18"/>
          <w:sz w:val="31"/>
          <w:szCs w:val="31"/>
        </w:rPr>
        <w:t>(盖章)</w:t>
      </w:r>
    </w:p>
    <w:p>
      <w:pPr>
        <w:spacing w:before="189" w:line="222" w:lineRule="auto"/>
        <w:ind w:left="4974" w:firstLine="316" w:firstLineChars="100"/>
        <w:rPr>
          <w:rFonts w:ascii="仿宋" w:hAnsi="仿宋" w:eastAsia="仿宋" w:cs="仿宋"/>
          <w:sz w:val="31"/>
          <w:szCs w:val="31"/>
        </w:rPr>
      </w:pPr>
      <w:r>
        <w:rPr>
          <w:rFonts w:ascii="仿宋" w:hAnsi="仿宋" w:eastAsia="仿宋" w:cs="仿宋"/>
          <w:spacing w:val="3"/>
          <w:sz w:val="31"/>
          <w:szCs w:val="31"/>
        </w:rPr>
        <w:t>2023年</w:t>
      </w:r>
      <w:r>
        <w:rPr>
          <w:rFonts w:hint="eastAsia" w:ascii="仿宋" w:hAnsi="仿宋" w:eastAsia="宋体" w:cs="仿宋"/>
          <w:spacing w:val="3"/>
          <w:sz w:val="31"/>
          <w:szCs w:val="31"/>
        </w:rPr>
        <w:t>2</w:t>
      </w:r>
      <w:r>
        <w:rPr>
          <w:rFonts w:ascii="仿宋" w:hAnsi="仿宋" w:eastAsia="仿宋" w:cs="仿宋"/>
          <w:spacing w:val="3"/>
          <w:sz w:val="31"/>
          <w:szCs w:val="31"/>
        </w:rPr>
        <w:t>月</w:t>
      </w:r>
      <w:r>
        <w:rPr>
          <w:rFonts w:hint="eastAsia" w:ascii="仿宋" w:hAnsi="仿宋" w:eastAsia="宋体" w:cs="仿宋"/>
          <w:spacing w:val="3"/>
          <w:sz w:val="31"/>
          <w:szCs w:val="31"/>
          <w:lang w:val="en-US" w:eastAsia="zh-CN"/>
        </w:rPr>
        <w:t>8</w:t>
      </w:r>
      <w:bookmarkStart w:id="1" w:name="_GoBack"/>
      <w:bookmarkEnd w:id="1"/>
      <w:r>
        <w:rPr>
          <w:rFonts w:ascii="仿宋" w:hAnsi="仿宋" w:eastAsia="仿宋" w:cs="仿宋"/>
          <w:spacing w:val="1"/>
          <w:sz w:val="31"/>
          <w:szCs w:val="31"/>
        </w:rPr>
        <w:t>日</w:t>
      </w:r>
    </w:p>
    <w:sectPr>
      <w:footerReference r:id="rId5" w:type="default"/>
      <w:pgSz w:w="11906" w:h="16838"/>
      <w:pgMar w:top="1431" w:right="1785" w:bottom="1116" w:left="1597" w:header="0" w:footer="83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74"/>
      <w:jc w:val="right"/>
      <w:rPr>
        <w:rFonts w:ascii="宋体" w:hAnsi="宋体" w:eastAsia="宋体" w:cs="宋体"/>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rPr>
        <w:rFonts w:ascii="宋体" w:hAnsi="宋体" w:eastAsia="宋体" w:cs="宋体"/>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844FD"/>
    <w:multiLevelType w:val="singleLevel"/>
    <w:tmpl w:val="E68844FD"/>
    <w:lvl w:ilvl="0" w:tentative="0">
      <w:start w:val="2"/>
      <w:numFmt w:val="decimal"/>
      <w:suff w:val="nothing"/>
      <w:lvlText w:val="（%1）"/>
      <w:lvlJc w:val="left"/>
    </w:lvl>
  </w:abstractNum>
  <w:abstractNum w:abstractNumId="1">
    <w:nsid w:val="39774D27"/>
    <w:multiLevelType w:val="singleLevel"/>
    <w:tmpl w:val="39774D27"/>
    <w:lvl w:ilvl="0" w:tentative="0">
      <w:start w:val="1"/>
      <w:numFmt w:val="chineseCounting"/>
      <w:suff w:val="nothing"/>
      <w:lvlText w:val="（%1）"/>
      <w:lvlJc w:val="left"/>
      <w:rPr>
        <w:rFonts w:hint="eastAsia"/>
      </w:rPr>
    </w:lvl>
  </w:abstractNum>
  <w:abstractNum w:abstractNumId="2">
    <w:nsid w:val="5C4E5C5B"/>
    <w:multiLevelType w:val="singleLevel"/>
    <w:tmpl w:val="5C4E5C5B"/>
    <w:lvl w:ilvl="0" w:tentative="0">
      <w:start w:val="1"/>
      <w:numFmt w:val="decimal"/>
      <w:suff w:val="nothing"/>
      <w:lvlText w:val="%1."/>
      <w:lvlJc w:val="left"/>
      <w:pPr>
        <w:ind w:left="-1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AxMWE4ZmFiNWQ1MjlhYWEyZGJiMGIxMzg0ZWZmMzkifQ=="/>
  </w:docVars>
  <w:rsids>
    <w:rsidRoot w:val="00480EC4"/>
    <w:rsid w:val="00006A30"/>
    <w:rsid w:val="00025417"/>
    <w:rsid w:val="000501CD"/>
    <w:rsid w:val="00065EF9"/>
    <w:rsid w:val="000A0F6E"/>
    <w:rsid w:val="000A1CC8"/>
    <w:rsid w:val="0011732C"/>
    <w:rsid w:val="00162729"/>
    <w:rsid w:val="00206FCE"/>
    <w:rsid w:val="0022444F"/>
    <w:rsid w:val="0029613C"/>
    <w:rsid w:val="002B1A3A"/>
    <w:rsid w:val="002D596B"/>
    <w:rsid w:val="002F4B3D"/>
    <w:rsid w:val="00307CAF"/>
    <w:rsid w:val="00322227"/>
    <w:rsid w:val="00343780"/>
    <w:rsid w:val="00370B81"/>
    <w:rsid w:val="003855D0"/>
    <w:rsid w:val="003D761B"/>
    <w:rsid w:val="003F12CE"/>
    <w:rsid w:val="00410315"/>
    <w:rsid w:val="0041148B"/>
    <w:rsid w:val="00433FDC"/>
    <w:rsid w:val="00480EC4"/>
    <w:rsid w:val="004F5315"/>
    <w:rsid w:val="005F01DE"/>
    <w:rsid w:val="00611169"/>
    <w:rsid w:val="00621A89"/>
    <w:rsid w:val="00680637"/>
    <w:rsid w:val="00697B18"/>
    <w:rsid w:val="006A2070"/>
    <w:rsid w:val="006C0162"/>
    <w:rsid w:val="006F0834"/>
    <w:rsid w:val="00703971"/>
    <w:rsid w:val="0071619F"/>
    <w:rsid w:val="00746671"/>
    <w:rsid w:val="00782641"/>
    <w:rsid w:val="00807434"/>
    <w:rsid w:val="00874C32"/>
    <w:rsid w:val="008A668A"/>
    <w:rsid w:val="008B5767"/>
    <w:rsid w:val="00903C96"/>
    <w:rsid w:val="00947875"/>
    <w:rsid w:val="009B02B9"/>
    <w:rsid w:val="009F13C7"/>
    <w:rsid w:val="00A81518"/>
    <w:rsid w:val="00A85D19"/>
    <w:rsid w:val="00AF34AB"/>
    <w:rsid w:val="00B25DF2"/>
    <w:rsid w:val="00B861EA"/>
    <w:rsid w:val="00BC14FD"/>
    <w:rsid w:val="00BF37F0"/>
    <w:rsid w:val="00C43016"/>
    <w:rsid w:val="00C52411"/>
    <w:rsid w:val="00C64583"/>
    <w:rsid w:val="00C64851"/>
    <w:rsid w:val="00C81046"/>
    <w:rsid w:val="00C83ADA"/>
    <w:rsid w:val="00CB3AC7"/>
    <w:rsid w:val="00D90001"/>
    <w:rsid w:val="00DE62D7"/>
    <w:rsid w:val="00DF016B"/>
    <w:rsid w:val="00E37A38"/>
    <w:rsid w:val="00F00FA5"/>
    <w:rsid w:val="02E0678E"/>
    <w:rsid w:val="03495329"/>
    <w:rsid w:val="066D1F72"/>
    <w:rsid w:val="06C77882"/>
    <w:rsid w:val="074B4580"/>
    <w:rsid w:val="092823ED"/>
    <w:rsid w:val="0E8D6B99"/>
    <w:rsid w:val="0EC45281"/>
    <w:rsid w:val="0F931DAE"/>
    <w:rsid w:val="13431BEC"/>
    <w:rsid w:val="142623D0"/>
    <w:rsid w:val="145768AC"/>
    <w:rsid w:val="145F6E86"/>
    <w:rsid w:val="17C06EE1"/>
    <w:rsid w:val="1A631CE4"/>
    <w:rsid w:val="1C2C7D45"/>
    <w:rsid w:val="1F700F02"/>
    <w:rsid w:val="21CC327D"/>
    <w:rsid w:val="22B10A4D"/>
    <w:rsid w:val="24843BFA"/>
    <w:rsid w:val="25A4682A"/>
    <w:rsid w:val="270574EB"/>
    <w:rsid w:val="2B1F2D82"/>
    <w:rsid w:val="2B736E56"/>
    <w:rsid w:val="2BF119CF"/>
    <w:rsid w:val="2D9125C0"/>
    <w:rsid w:val="2FB13979"/>
    <w:rsid w:val="32121AF0"/>
    <w:rsid w:val="34DA514A"/>
    <w:rsid w:val="3A6E07F2"/>
    <w:rsid w:val="3D505310"/>
    <w:rsid w:val="3EB66A77"/>
    <w:rsid w:val="41BF7970"/>
    <w:rsid w:val="42225D53"/>
    <w:rsid w:val="43110125"/>
    <w:rsid w:val="46DF392A"/>
    <w:rsid w:val="478361A2"/>
    <w:rsid w:val="4D0D3EFE"/>
    <w:rsid w:val="4E755AD7"/>
    <w:rsid w:val="507F08E7"/>
    <w:rsid w:val="52E76C11"/>
    <w:rsid w:val="5A826162"/>
    <w:rsid w:val="5E3F3A97"/>
    <w:rsid w:val="5FB1530E"/>
    <w:rsid w:val="62022F3C"/>
    <w:rsid w:val="62863EB2"/>
    <w:rsid w:val="6449633C"/>
    <w:rsid w:val="66246534"/>
    <w:rsid w:val="672420D7"/>
    <w:rsid w:val="6800234D"/>
    <w:rsid w:val="6B98666D"/>
    <w:rsid w:val="6C470371"/>
    <w:rsid w:val="6CBD6391"/>
    <w:rsid w:val="6D1B4689"/>
    <w:rsid w:val="6D7D658D"/>
    <w:rsid w:val="70E3584C"/>
    <w:rsid w:val="728B0838"/>
    <w:rsid w:val="73234DE2"/>
    <w:rsid w:val="75D3008C"/>
    <w:rsid w:val="77A65E3D"/>
    <w:rsid w:val="7BFE7628"/>
    <w:rsid w:val="7ED4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Layout w:type="fixed"/>
      <w:tblCellMar>
        <w:top w:w="0" w:type="dxa"/>
        <w:left w:w="0" w:type="dxa"/>
        <w:bottom w:w="0" w:type="dxa"/>
        <w:right w:w="0" w:type="dxa"/>
      </w:tblCellMar>
    </w:tblPr>
  </w:style>
  <w:style w:type="paragraph" w:customStyle="1" w:styleId="9">
    <w:name w:val="List Paragraph"/>
    <w:basedOn w:val="1"/>
    <w:qFormat/>
    <w:uiPriority w:val="34"/>
    <w:pPr>
      <w:ind w:firstLine="420" w:firstLineChars="200"/>
    </w:pPr>
  </w:style>
  <w:style w:type="character" w:customStyle="1" w:styleId="10">
    <w:name w:val="批注框文本 Char"/>
    <w:basedOn w:val="6"/>
    <w:link w:val="3"/>
    <w:qFormat/>
    <w:uiPriority w:val="0"/>
    <w:rPr>
      <w:rFonts w:ascii="Arial" w:hAnsi="Arial" w:eastAsia="Arial" w:cs="Arial"/>
      <w:snapToGrid w:val="0"/>
      <w:color w:val="000000"/>
      <w:sz w:val="18"/>
      <w:szCs w:val="18"/>
    </w:rPr>
  </w:style>
  <w:style w:type="character" w:customStyle="1" w:styleId="11">
    <w:name w:val="font51"/>
    <w:basedOn w:val="6"/>
    <w:uiPriority w:val="0"/>
    <w:rPr>
      <w:rFonts w:hint="eastAsia" w:ascii="宋体" w:hAnsi="宋体" w:eastAsia="宋体" w:cs="宋体"/>
      <w:b/>
      <w:color w:val="000000"/>
      <w:sz w:val="22"/>
      <w:szCs w:val="22"/>
      <w:u w:val="none"/>
    </w:rPr>
  </w:style>
  <w:style w:type="character" w:customStyle="1" w:styleId="12">
    <w:name w:val="font0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5422</Words>
  <Characters>6033</Characters>
  <Lines>46</Lines>
  <Paragraphs>13</Paragraphs>
  <TotalTime>0</TotalTime>
  <ScaleCrop>false</ScaleCrop>
  <LinksUpToDate>false</LinksUpToDate>
  <CharactersWithSpaces>6133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2023-02-03T09:15:00Z</dcterms:created>
  <dc:creator>黄菱</dc:creator>
  <cp:lastModifiedBy>王江峰</cp:lastModifiedBy>
  <cp:lastPrinted>2023-02-06T02:44:00Z</cp:lastPrinted>
  <dcterms:modified xsi:type="dcterms:W3CDTF">2023-02-23T01:03:33Z</dcterms:modified>
  <dc:title>自治区本级2014年部门预算和部门“三公”经费预算公开工作方案</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2023-02-03T09:17:50Z</vt:filetime>
  </property>
  <property fmtid="{D5CDD505-2E9C-101B-9397-08002B2CF9AE}" pid="4" name="KSOProductBuildVer">
    <vt:lpwstr>2052-10.8.0.6206</vt:lpwstr>
  </property>
  <property fmtid="{D5CDD505-2E9C-101B-9397-08002B2CF9AE}" pid="5" name="ICV">
    <vt:lpwstr>51D766EC7AAD48AA9A095B209C670332</vt:lpwstr>
  </property>
</Properties>
</file>